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78E" w:rsidRPr="006D678E" w:rsidRDefault="00D355EB" w:rsidP="005F6AEB">
      <w:pPr>
        <w:pStyle w:val="a3"/>
        <w:numPr>
          <w:ilvl w:val="0"/>
          <w:numId w:val="1"/>
        </w:numPr>
        <w:ind w:leftChars="0"/>
      </w:pPr>
      <w:r>
        <w:rPr>
          <w:rFonts w:hint="eastAsia"/>
          <w:b/>
          <w:color w:val="FF0000"/>
        </w:rPr>
        <w:t>若需觀看影片</w:t>
      </w:r>
      <w:r>
        <w:rPr>
          <w:rFonts w:asciiTheme="minorEastAsia" w:hAnsiTheme="minorEastAsia" w:hint="eastAsia"/>
          <w:b/>
          <w:color w:val="FF0000"/>
        </w:rPr>
        <w:t>，</w:t>
      </w:r>
      <w:r w:rsidR="00E05D39" w:rsidRPr="00937C98">
        <w:rPr>
          <w:rFonts w:hint="eastAsia"/>
          <w:b/>
          <w:color w:val="FF0000"/>
        </w:rPr>
        <w:t>請</w:t>
      </w:r>
      <w:r>
        <w:rPr>
          <w:rFonts w:hint="eastAsia"/>
          <w:b/>
          <w:color w:val="FF0000"/>
        </w:rPr>
        <w:t>下載後使用解壓縮工具</w:t>
      </w:r>
      <w:r>
        <w:rPr>
          <w:rFonts w:hint="eastAsia"/>
          <w:b/>
          <w:color w:val="FF0000"/>
        </w:rPr>
        <w:t>(</w:t>
      </w:r>
      <w:r>
        <w:rPr>
          <w:rFonts w:hint="eastAsia"/>
          <w:b/>
          <w:color w:val="FF0000"/>
        </w:rPr>
        <w:t>譬如</w:t>
      </w:r>
      <w:r>
        <w:rPr>
          <w:rFonts w:hint="eastAsia"/>
          <w:b/>
          <w:color w:val="FF0000"/>
        </w:rPr>
        <w:t>winrar)</w:t>
      </w:r>
      <w:r>
        <w:rPr>
          <w:rFonts w:hint="eastAsia"/>
          <w:b/>
          <w:color w:val="FF0000"/>
        </w:rPr>
        <w:t>解壓縮</w:t>
      </w:r>
      <w:r w:rsidR="00986CD8">
        <w:rPr>
          <w:rFonts w:hint="eastAsia"/>
          <w:b/>
          <w:color w:val="FF0000"/>
        </w:rPr>
        <w:t>(</w:t>
      </w:r>
      <w:r w:rsidR="00986CD8">
        <w:rPr>
          <w:rFonts w:hint="eastAsia"/>
          <w:b/>
          <w:color w:val="FF0000"/>
        </w:rPr>
        <w:t>若該課程含多個影片分割檔</w:t>
      </w:r>
      <w:r w:rsidR="00986CD8">
        <w:rPr>
          <w:rFonts w:asciiTheme="minorEastAsia" w:hAnsiTheme="minorEastAsia" w:hint="eastAsia"/>
          <w:b/>
          <w:color w:val="FF0000"/>
        </w:rPr>
        <w:t>，</w:t>
      </w:r>
      <w:r w:rsidR="00986CD8">
        <w:rPr>
          <w:rFonts w:hint="eastAsia"/>
          <w:b/>
          <w:color w:val="FF0000"/>
        </w:rPr>
        <w:t>請全部下載後再一起解壓縮</w:t>
      </w:r>
      <w:r w:rsidR="00986CD8">
        <w:rPr>
          <w:rFonts w:hint="eastAsia"/>
          <w:b/>
          <w:color w:val="FF0000"/>
        </w:rPr>
        <w:t>)</w:t>
      </w:r>
    </w:p>
    <w:p w:rsidR="00E8401E" w:rsidRDefault="0025286B" w:rsidP="005F6AEB">
      <w:pPr>
        <w:pStyle w:val="a3"/>
        <w:numPr>
          <w:ilvl w:val="0"/>
          <w:numId w:val="1"/>
        </w:numPr>
        <w:ind w:leftChars="0"/>
      </w:pPr>
      <w:r>
        <w:rPr>
          <w:rFonts w:cstheme="minorHAnsi"/>
        </w:rPr>
        <w:t>A.</w:t>
      </w:r>
      <w:r w:rsidR="00893CE8" w:rsidRPr="00003D36">
        <w:rPr>
          <w:rFonts w:asciiTheme="minorEastAsia" w:hAnsiTheme="minorEastAsia" w:hint="eastAsia"/>
          <w:sz w:val="22"/>
        </w:rPr>
        <w:t>下列課程請於解壓縮後</w:t>
      </w:r>
      <w:r w:rsidR="006D678E" w:rsidRPr="00003D36">
        <w:rPr>
          <w:rFonts w:asciiTheme="minorEastAsia" w:hAnsiTheme="minorEastAsia" w:hint="eastAsia"/>
          <w:sz w:val="22"/>
        </w:rPr>
        <w:t>打開資料夾，</w:t>
      </w:r>
      <w:r w:rsidR="00E05D39" w:rsidRPr="00003D36">
        <w:rPr>
          <w:rFonts w:hint="eastAsia"/>
          <w:sz w:val="22"/>
        </w:rPr>
        <w:t>直接點選</w:t>
      </w:r>
      <w:r w:rsidR="000C0054" w:rsidRPr="00003D36">
        <w:rPr>
          <w:rFonts w:hint="eastAsia"/>
          <w:sz w:val="22"/>
        </w:rPr>
        <w:t>playe</w:t>
      </w:r>
      <w:r w:rsidR="00AB37EB" w:rsidRPr="00003D36">
        <w:rPr>
          <w:rFonts w:hint="eastAsia"/>
          <w:sz w:val="22"/>
        </w:rPr>
        <w:t>r</w:t>
      </w:r>
      <w:r w:rsidR="001D42A9">
        <w:rPr>
          <w:sz w:val="22"/>
        </w:rPr>
        <w:t>.html/presentation.html</w:t>
      </w:r>
      <w:r w:rsidR="001D42A9">
        <w:rPr>
          <w:rFonts w:hint="eastAsia"/>
          <w:sz w:val="22"/>
        </w:rPr>
        <w:t>檔</w:t>
      </w:r>
      <w:r>
        <w:rPr>
          <w:rFonts w:hint="eastAsia"/>
          <w:sz w:val="22"/>
        </w:rPr>
        <w:t xml:space="preserve"> </w:t>
      </w:r>
      <w:r w:rsidR="001D42A9">
        <w:rPr>
          <w:rFonts w:hint="eastAsia"/>
          <w:sz w:val="22"/>
        </w:rPr>
        <w:t>案</w:t>
      </w:r>
      <w:r w:rsidR="00E05D39" w:rsidRPr="00003D36">
        <w:rPr>
          <w:rFonts w:hint="eastAsia"/>
          <w:sz w:val="22"/>
        </w:rPr>
        <w:t>即可觀看</w:t>
      </w:r>
      <w:r w:rsidR="00E05D39" w:rsidRPr="00003D36">
        <w:rPr>
          <w:rFonts w:hint="eastAsia"/>
          <w:sz w:val="22"/>
        </w:rPr>
        <w:t>(</w:t>
      </w:r>
      <w:r w:rsidR="00E05D39" w:rsidRPr="00003D36">
        <w:rPr>
          <w:rFonts w:hint="eastAsia"/>
          <w:sz w:val="22"/>
        </w:rPr>
        <w:t>如</w:t>
      </w:r>
      <w:r w:rsidR="00302C68" w:rsidRPr="00003D36">
        <w:rPr>
          <w:rFonts w:hint="eastAsia"/>
          <w:sz w:val="22"/>
        </w:rPr>
        <w:t>下</w:t>
      </w:r>
      <w:r w:rsidR="00E05D39" w:rsidRPr="00003D36">
        <w:rPr>
          <w:rFonts w:hint="eastAsia"/>
          <w:sz w:val="22"/>
        </w:rPr>
        <w:t>圖所示</w:t>
      </w:r>
      <w:r w:rsidR="00E05D39" w:rsidRPr="00003D36">
        <w:rPr>
          <w:rFonts w:hint="eastAsia"/>
          <w:sz w:val="22"/>
        </w:rPr>
        <w:t>)</w:t>
      </w:r>
    </w:p>
    <w:p w:rsidR="009E22D6" w:rsidRPr="009E22D6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9E22D6">
        <w:rPr>
          <w:rFonts w:ascii="標楷體" w:eastAsia="標楷體" w:hAnsi="標楷體" w:hint="eastAsia"/>
          <w:color w:val="365F91" w:themeColor="accent1" w:themeShade="BF"/>
          <w:sz w:val="22"/>
        </w:rPr>
        <w:t>退伍軍人症之鑑別診斷與處置</w:t>
      </w:r>
    </w:p>
    <w:p w:rsidR="009E22D6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發燒簡介</w:t>
      </w:r>
    </w:p>
    <w:p w:rsidR="009E22D6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艱難梭狀桿菌感染症:流行病學、診斷、治療、感管措施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肺部感染的治療（上）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肺部感染的治療（下）</w:t>
      </w:r>
    </w:p>
    <w:p w:rsidR="000E37C6" w:rsidRDefault="000E37C6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0E37C6">
        <w:rPr>
          <w:rFonts w:ascii="標楷體" w:eastAsia="標楷體" w:hAnsi="標楷體" w:hint="eastAsia"/>
          <w:color w:val="365F91" w:themeColor="accent1" w:themeShade="BF"/>
          <w:sz w:val="22"/>
        </w:rPr>
        <w:t>H7N9流感診斷、治療與醫院感染管制</w:t>
      </w:r>
    </w:p>
    <w:p w:rsid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B4EC4">
        <w:rPr>
          <w:rFonts w:ascii="標楷體" w:eastAsia="標楷體" w:hAnsi="標楷體" w:hint="eastAsia"/>
          <w:color w:val="365F91" w:themeColor="accent1" w:themeShade="BF"/>
          <w:sz w:val="22"/>
        </w:rPr>
        <w:t>麻疹之群突發調查和感染管制措施</w:t>
      </w:r>
    </w:p>
    <w:p w:rsidR="00E31DB0" w:rsidRPr="00E31DB0" w:rsidRDefault="00E31DB0" w:rsidP="00E31DB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</w:rPr>
      </w:pPr>
      <w:r w:rsidRPr="00E31DB0">
        <w:rPr>
          <w:rFonts w:ascii="標楷體" w:eastAsia="標楷體" w:hAnsi="標楷體" w:hint="eastAsia"/>
          <w:color w:val="365F91" w:themeColor="accent1" w:themeShade="BF"/>
        </w:rPr>
        <w:t>非典型感染介紹(鑑別診斷與處置)(上)-恙蟲病與斑疹傷寒</w:t>
      </w:r>
    </w:p>
    <w:p w:rsidR="00E31DB0" w:rsidRPr="00E31DB0" w:rsidRDefault="00E31DB0" w:rsidP="00E31DB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</w:rPr>
      </w:pPr>
      <w:r w:rsidRPr="00E31DB0">
        <w:rPr>
          <w:rFonts w:ascii="標楷體" w:eastAsia="標楷體" w:hAnsi="標楷體" w:hint="eastAsia"/>
          <w:color w:val="365F91" w:themeColor="accent1" w:themeShade="BF"/>
        </w:rPr>
        <w:t>非典型感染介紹(鑑別診斷與處置)(中)-Q熱與鉤端螺旋體病</w:t>
      </w:r>
    </w:p>
    <w:p w:rsidR="00E31DB0" w:rsidRPr="00E31DB0" w:rsidRDefault="00E31DB0" w:rsidP="00E31DB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</w:rPr>
      </w:pPr>
      <w:r w:rsidRPr="00E31DB0">
        <w:rPr>
          <w:rFonts w:ascii="標楷體" w:eastAsia="標楷體" w:hAnsi="標楷體" w:hint="eastAsia"/>
          <w:color w:val="365F91" w:themeColor="accent1" w:themeShade="BF"/>
        </w:rPr>
        <w:t>非典型感染介紹(鑑別診斷與處置)(下)-類鼻疽與漢他病毒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</w:rPr>
        <w:t>上呼吸道感染之鑑別診斷與處置</w:t>
      </w:r>
    </w:p>
    <w:p w:rsid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  <w:sz w:val="22"/>
        </w:rPr>
        <w:t>腹腔內感染之鑑別診斷及處置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</w:rPr>
        <w:t>泌尿道感染之鑑別診斷與處置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常見出疹性發燒之鑑別診斷、治療與醫院感染管制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百日咳鑑別診斷、預防、治療與醫院感染管制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031475">
        <w:rPr>
          <w:rFonts w:ascii="標楷體" w:eastAsia="標楷體" w:hAnsi="標楷體" w:hint="eastAsia"/>
          <w:color w:val="365F91" w:themeColor="accent1" w:themeShade="BF"/>
        </w:rPr>
        <w:t>侵襲性肺炎鏈球菌感染症(IPD)感染診斷、治療與醫院感染管制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031475">
        <w:rPr>
          <w:rFonts w:ascii="標楷體" w:eastAsia="標楷體" w:hAnsi="標楷體" w:hint="eastAsia"/>
          <w:color w:val="365F91" w:themeColor="accent1" w:themeShade="BF"/>
        </w:rPr>
        <w:t>登革熱鑑別診斷、治療與感染管制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狂犬病鑑別診斷、治療與感染管制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流感的預防接種與感染管制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流感的病毒學與流行病學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流感的診斷與治療</w:t>
      </w:r>
    </w:p>
    <w:p w:rsidR="00E31DB0" w:rsidRPr="00E31DB0" w:rsidRDefault="00E31DB0" w:rsidP="000E37C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腸病毒</w:t>
      </w:r>
      <w:r w:rsidR="00327135">
        <w:rPr>
          <w:rFonts w:ascii="標楷體" w:eastAsia="標楷體" w:hAnsi="標楷體" w:hint="eastAsia"/>
          <w:color w:val="365F91" w:themeColor="accent1" w:themeShade="BF"/>
        </w:rPr>
        <w:t>流行病學診斷、治療及</w:t>
      </w:r>
      <w:r>
        <w:rPr>
          <w:rFonts w:ascii="標楷體" w:eastAsia="標楷體" w:hAnsi="標楷體" w:hint="eastAsia"/>
          <w:color w:val="365F91" w:themeColor="accent1" w:themeShade="BF"/>
        </w:rPr>
        <w:t>預防</w:t>
      </w:r>
    </w:p>
    <w:p w:rsidR="00E31DB0" w:rsidRPr="00B85F3D" w:rsidRDefault="00E31DB0" w:rsidP="00E31DB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痢疾(含桿菌性痢疾及阿米巴痢疾)的鑑別診斷、治療與感染管制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流行性腦脊髓膜炎的鑑別診斷、治療、處置及感染管制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瘧疾</w:t>
      </w:r>
      <w:r w:rsidR="00080585">
        <w:rPr>
          <w:rFonts w:ascii="標楷體" w:eastAsia="標楷體" w:hAnsi="標楷體" w:hint="eastAsia"/>
          <w:color w:val="365F91" w:themeColor="accent1" w:themeShade="BF"/>
          <w:szCs w:val="24"/>
        </w:rPr>
        <w:t>(Malaria)</w:t>
      </w:r>
      <w:r w:rsidR="00080585" w:rsidRPr="00B85F3D">
        <w:rPr>
          <w:rFonts w:ascii="標楷體" w:eastAsia="標楷體" w:hAnsi="標楷體"/>
          <w:color w:val="365F91" w:themeColor="accent1" w:themeShade="BF"/>
          <w:szCs w:val="24"/>
        </w:rPr>
        <w:t xml:space="preserve"> </w:t>
      </w:r>
    </w:p>
    <w:p w:rsidR="00B85F3D" w:rsidRPr="00B85F3D" w:rsidRDefault="00080585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>
        <w:rPr>
          <w:rFonts w:ascii="標楷體" w:eastAsia="標楷體" w:hAnsi="標楷體" w:hint="eastAsia"/>
          <w:color w:val="365F91" w:themeColor="accent1" w:themeShade="BF"/>
          <w:szCs w:val="24"/>
        </w:rPr>
        <w:t>非結核分支桿菌(</w:t>
      </w:r>
      <w:r>
        <w:rPr>
          <w:rFonts w:ascii="標楷體" w:eastAsia="標楷體" w:hAnsi="標楷體"/>
          <w:color w:val="365F91" w:themeColor="accent1" w:themeShade="BF"/>
          <w:szCs w:val="24"/>
        </w:rPr>
        <w:t xml:space="preserve">Nontuberculous Mycobacteria, </w:t>
      </w:r>
      <w:r w:rsidR="00B85F3D"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NTM</w:t>
      </w:r>
      <w:r>
        <w:rPr>
          <w:rFonts w:ascii="標楷體" w:eastAsia="標楷體" w:hAnsi="標楷體" w:hint="eastAsia"/>
          <w:color w:val="365F91" w:themeColor="accent1" w:themeShade="BF"/>
          <w:szCs w:val="24"/>
        </w:rPr>
        <w:t>)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結核病鑑別診斷、治療與感染管制-治療篇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結核病鑑別診斷、治療與感染管制-感染管制篇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結核病鑑別診斷、治療與感染管制-鑑別診斷篇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伊波拉病毒感染</w:t>
      </w:r>
      <w:r w:rsidR="00195C5D">
        <w:rPr>
          <w:rFonts w:ascii="標楷體" w:eastAsia="標楷體" w:hAnsi="標楷體" w:hint="eastAsia"/>
          <w:color w:val="365F91" w:themeColor="accent1" w:themeShade="BF"/>
          <w:szCs w:val="24"/>
        </w:rPr>
        <w:t>介紹</w:t>
      </w: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、流行病學與感染管制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人類免疫缺乏病毒（Human Immunodeficiency Virus, HIV）鑑別診斷、治療與感染管制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傷寒、副傷寒、沙門氏菌感染症的鑑別診斷、治療、處置與感染管制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SARS</w:t>
      </w:r>
      <w:r w:rsidR="003B3361">
        <w:rPr>
          <w:rFonts w:ascii="標楷體" w:eastAsia="標楷體" w:hAnsi="標楷體" w:hint="eastAsia"/>
          <w:color w:val="365F91" w:themeColor="accent1" w:themeShade="BF"/>
          <w:szCs w:val="24"/>
        </w:rPr>
        <w:t>之</w:t>
      </w: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鑑別診斷、治療與感染管制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未明感染源發燒病患之診斷邏輯與治療決策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由新興感染症談急診之</w:t>
      </w:r>
      <w:r w:rsidR="00080585">
        <w:rPr>
          <w:rFonts w:ascii="標楷體" w:eastAsia="標楷體" w:hAnsi="標楷體" w:hint="eastAsia"/>
          <w:color w:val="365F91" w:themeColor="accent1" w:themeShade="BF"/>
          <w:szCs w:val="24"/>
        </w:rPr>
        <w:t>防疫</w:t>
      </w: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措施與動線規劃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日本腦炎</w:t>
      </w:r>
      <w:r w:rsidR="00ED31F6">
        <w:rPr>
          <w:rFonts w:ascii="標楷體" w:eastAsia="標楷體" w:hAnsi="標楷體" w:hint="eastAsia"/>
          <w:color w:val="365F91" w:themeColor="accent1" w:themeShade="BF"/>
          <w:szCs w:val="24"/>
        </w:rPr>
        <w:t>(</w:t>
      </w:r>
      <w:r w:rsidR="00ED31F6">
        <w:rPr>
          <w:rFonts w:ascii="標楷體" w:eastAsia="標楷體" w:hAnsi="標楷體"/>
          <w:color w:val="365F91" w:themeColor="accent1" w:themeShade="BF"/>
          <w:szCs w:val="24"/>
        </w:rPr>
        <w:t>Japanese Encephalitis)</w:t>
      </w:r>
    </w:p>
    <w:p w:rsidR="00B85F3D" w:rsidRPr="00B85F3D" w:rsidRDefault="00B85F3D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Cs w:val="24"/>
        </w:rPr>
      </w:pPr>
      <w:r w:rsidRPr="00B85F3D">
        <w:rPr>
          <w:rFonts w:ascii="標楷體" w:eastAsia="標楷體" w:hAnsi="標楷體" w:hint="eastAsia"/>
          <w:color w:val="365F91" w:themeColor="accent1" w:themeShade="BF"/>
          <w:szCs w:val="24"/>
        </w:rPr>
        <w:t>從SARS, H1N1, Ebola, MERS談動線管制與Pandemic之疫情整備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抗生素簡介（上）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抗生素簡介（下）</w:t>
      </w:r>
    </w:p>
    <w:p w:rsidR="009E22D6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抗生素管理計畫內部稽核與注意事項</w:t>
      </w:r>
    </w:p>
    <w:p w:rsidR="00E31DB0" w:rsidRDefault="00E31DB0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9E22D6">
        <w:rPr>
          <w:rFonts w:ascii="標楷體" w:eastAsia="標楷體" w:hAnsi="標楷體" w:hint="eastAsia"/>
          <w:color w:val="365F91" w:themeColor="accent1" w:themeShade="BF"/>
          <w:sz w:val="22"/>
        </w:rPr>
        <w:lastRenderedPageBreak/>
        <w:t>抗生素合理使用與病人安全</w:t>
      </w:r>
    </w:p>
    <w:p w:rsidR="00E31DB0" w:rsidRDefault="00E31DB0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9C0DD6">
        <w:rPr>
          <w:rFonts w:ascii="標楷體" w:eastAsia="標楷體" w:hAnsi="標楷體" w:hint="eastAsia"/>
          <w:color w:val="365F91" w:themeColor="accent1" w:themeShade="BF"/>
          <w:sz w:val="22"/>
        </w:rPr>
        <w:t>多重抗藥性細菌之抗藥機轉</w:t>
      </w:r>
    </w:p>
    <w:p w:rsidR="00E31DB0" w:rsidRDefault="00E31DB0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9E22D6">
        <w:rPr>
          <w:rFonts w:ascii="標楷體" w:eastAsia="標楷體" w:hAnsi="標楷體" w:hint="eastAsia"/>
          <w:color w:val="365F91" w:themeColor="accent1" w:themeShade="BF"/>
          <w:sz w:val="22"/>
        </w:rPr>
        <w:t>抗生素管理計畫之輔導規劃</w:t>
      </w:r>
    </w:p>
    <w:p w:rsidR="00E31DB0" w:rsidRPr="00E31DB0" w:rsidRDefault="00E31DB0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</w:rPr>
        <w:t>清淨手術之抗生素的合理使用</w:t>
      </w:r>
    </w:p>
    <w:p w:rsidR="00E31DB0" w:rsidRPr="00B85F3D" w:rsidRDefault="00E31DB0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國家型抗生素管理計畫</w:t>
      </w:r>
    </w:p>
    <w:p w:rsidR="00B85F3D" w:rsidRPr="00B85F3D" w:rsidRDefault="00B85F3D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B85F3D">
        <w:rPr>
          <w:rFonts w:ascii="標楷體" w:eastAsia="標楷體" w:hAnsi="標楷體" w:hint="eastAsia"/>
          <w:color w:val="365F91" w:themeColor="accent1" w:themeShade="BF"/>
        </w:rPr>
        <w:t>燒燙傷病人之抗生素藥物動力學</w:t>
      </w:r>
      <w:r w:rsidR="003B3361">
        <w:rPr>
          <w:rFonts w:ascii="標楷體" w:eastAsia="標楷體" w:hAnsi="標楷體" w:hint="eastAsia"/>
          <w:color w:val="365F91" w:themeColor="accent1" w:themeShade="BF"/>
        </w:rPr>
        <w:t>(</w:t>
      </w:r>
      <w:r w:rsidR="003B3361">
        <w:rPr>
          <w:rFonts w:ascii="標楷體" w:eastAsia="標楷體" w:hAnsi="標楷體"/>
          <w:color w:val="365F91" w:themeColor="accent1" w:themeShade="BF"/>
        </w:rPr>
        <w:t>Pharmacokinetics of antibiotics in burn patients</w:t>
      </w:r>
      <w:r w:rsidR="003B3361">
        <w:rPr>
          <w:rFonts w:ascii="標楷體" w:eastAsia="標楷體" w:hAnsi="標楷體" w:hint="eastAsia"/>
          <w:color w:val="365F91" w:themeColor="accent1" w:themeShade="BF"/>
        </w:rPr>
        <w:t>)</w:t>
      </w:r>
    </w:p>
    <w:p w:rsidR="00B85F3D" w:rsidRPr="00B85F3D" w:rsidRDefault="00B85F3D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B85F3D">
        <w:rPr>
          <w:rFonts w:ascii="標楷體" w:eastAsia="標楷體" w:hAnsi="標楷體" w:hint="eastAsia"/>
          <w:color w:val="365F91" w:themeColor="accent1" w:themeShade="BF"/>
        </w:rPr>
        <w:t>呼吸照護病房(</w:t>
      </w:r>
      <w:r w:rsidR="00195C5D">
        <w:rPr>
          <w:rFonts w:ascii="標楷體" w:eastAsia="標楷體" w:hAnsi="標楷體"/>
          <w:color w:val="365F91" w:themeColor="accent1" w:themeShade="BF"/>
        </w:rPr>
        <w:t xml:space="preserve">Respiratory Care Ward, </w:t>
      </w:r>
      <w:r w:rsidRPr="00B85F3D">
        <w:rPr>
          <w:rFonts w:ascii="標楷體" w:eastAsia="標楷體" w:hAnsi="標楷體" w:hint="eastAsia"/>
          <w:color w:val="365F91" w:themeColor="accent1" w:themeShade="BF"/>
        </w:rPr>
        <w:t>RCW) 之抗生素使用管理原則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護理師在抗生素管理中所扮演的角色</w:t>
      </w:r>
    </w:p>
    <w:p w:rsidR="00854F23" w:rsidRPr="00854F23" w:rsidRDefault="00854F23" w:rsidP="00854F23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854F23">
        <w:rPr>
          <w:rFonts w:ascii="標楷體" w:eastAsia="標楷體" w:hAnsi="標楷體" w:hint="eastAsia"/>
          <w:color w:val="365F91" w:themeColor="accent1" w:themeShade="BF"/>
          <w:sz w:val="22"/>
        </w:rPr>
        <w:t>護理師在抗生素管理中扮演的角色</w:t>
      </w:r>
    </w:p>
    <w:p w:rsidR="009E22D6" w:rsidRPr="005F6AEB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 xml:space="preserve">藥師在抗生素管理中所扮演的角色 </w:t>
      </w:r>
    </w:p>
    <w:p w:rsidR="009E22D6" w:rsidRDefault="009E22D6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5F6AEB">
        <w:rPr>
          <w:rFonts w:ascii="標楷體" w:eastAsia="標楷體" w:hAnsi="標楷體" w:hint="eastAsia"/>
          <w:color w:val="365F91" w:themeColor="accent1" w:themeShade="BF"/>
          <w:sz w:val="22"/>
        </w:rPr>
        <w:t>藥師於抗生素管理之職責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  <w:sz w:val="22"/>
        </w:rPr>
        <w:t>醫院管理與領導者推動抗生素管理經驗分享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  <w:sz w:val="22"/>
        </w:rPr>
        <w:t>建置抗生素管理資訊系統經驗分享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  <w:sz w:val="22"/>
        </w:rPr>
        <w:t>推動抗生素管理經驗分享-以長庚醫院為例</w:t>
      </w:r>
      <w:r w:rsidR="007B5C9D">
        <w:rPr>
          <w:rFonts w:ascii="標楷體" w:eastAsia="標楷體" w:hAnsi="標楷體" w:hint="eastAsia"/>
          <w:color w:val="365F91" w:themeColor="accent1" w:themeShade="BF"/>
          <w:sz w:val="22"/>
        </w:rPr>
        <w:t>(</w:t>
      </w:r>
      <w:r w:rsidR="007B5C9D">
        <w:rPr>
          <w:rFonts w:ascii="標楷體" w:eastAsia="標楷體" w:hAnsi="標楷體"/>
          <w:color w:val="365F91" w:themeColor="accent1" w:themeShade="BF"/>
          <w:sz w:val="22"/>
        </w:rPr>
        <w:t>Antimicrobial stewardship program</w:t>
      </w:r>
      <w:r w:rsidR="007B5C9D">
        <w:rPr>
          <w:rFonts w:ascii="標楷體" w:eastAsia="標楷體" w:hAnsi="標楷體" w:hint="eastAsia"/>
          <w:color w:val="365F91" w:themeColor="accent1" w:themeShade="BF"/>
          <w:sz w:val="22"/>
        </w:rPr>
        <w:t>)</w:t>
      </w:r>
    </w:p>
    <w:p w:rsidR="007925AA" w:rsidRPr="00B85F3D" w:rsidRDefault="003627A1" w:rsidP="00B85F3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</w:rPr>
        <w:t>抗生素管理計畫-醫檢師</w:t>
      </w:r>
      <w:r w:rsidR="007925AA">
        <w:rPr>
          <w:rFonts w:ascii="標楷體" w:eastAsia="標楷體" w:hAnsi="標楷體" w:hint="eastAsia"/>
          <w:color w:val="365F91" w:themeColor="accent1" w:themeShade="BF"/>
        </w:rPr>
        <w:t>扮演的角色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9E22D6">
        <w:rPr>
          <w:rFonts w:ascii="標楷體" w:eastAsia="標楷體" w:hAnsi="標楷體" w:hint="eastAsia"/>
          <w:color w:val="365F91" w:themeColor="accent1" w:themeShade="BF"/>
          <w:sz w:val="22"/>
        </w:rPr>
        <w:t>MRSA的診斷、治療與醫院感染管制措施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ED2830">
        <w:rPr>
          <w:rFonts w:ascii="標楷體" w:eastAsia="標楷體" w:hAnsi="標楷體" w:hint="eastAsia"/>
          <w:color w:val="365F91" w:themeColor="accent1" w:themeShade="BF"/>
          <w:sz w:val="22"/>
        </w:rPr>
        <w:t>CRE的診斷、治療與醫院感染管制措施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  <w:sz w:val="22"/>
        </w:rPr>
        <w:t>NDM-1的診斷、治療與醫院感染管制措施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  <w:sz w:val="22"/>
        </w:rPr>
        <w:t>KPC的診斷、治療與醫院感染管制措施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AD608A">
        <w:rPr>
          <w:rFonts w:ascii="標楷體" w:eastAsia="標楷體" w:hAnsi="標楷體" w:hint="eastAsia"/>
          <w:color w:val="365F91" w:themeColor="accent1" w:themeShade="BF"/>
          <w:sz w:val="22"/>
        </w:rPr>
        <w:t>VRE的診斷、治療與醫院感染管制措施</w:t>
      </w:r>
    </w:p>
    <w:p w:rsidR="007925AA" w:rsidRP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1420A5">
        <w:rPr>
          <w:rFonts w:ascii="標楷體" w:eastAsia="標楷體" w:hAnsi="標楷體" w:hint="eastAsia"/>
          <w:color w:val="365F91" w:themeColor="accent1" w:themeShade="BF"/>
        </w:rPr>
        <w:t>抗藥性鮑氏不動桿菌的疾病防治</w:t>
      </w:r>
    </w:p>
    <w:p w:rsidR="007925AA" w:rsidRP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031475">
        <w:rPr>
          <w:rFonts w:ascii="標楷體" w:eastAsia="標楷體" w:hAnsi="標楷體" w:hint="eastAsia"/>
          <w:color w:val="365F91" w:themeColor="accent1" w:themeShade="BF"/>
        </w:rPr>
        <w:t>醫療機構委外辦理環境清潔業務之管理策略與感染管制</w:t>
      </w:r>
    </w:p>
    <w:p w:rsidR="007925AA" w:rsidRDefault="007925AA" w:rsidP="009E22D6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 w:rsidRPr="00465DFA">
        <w:rPr>
          <w:rFonts w:ascii="標楷體" w:eastAsia="標楷體" w:hAnsi="標楷體" w:hint="eastAsia"/>
          <w:color w:val="365F91" w:themeColor="accent1" w:themeShade="BF"/>
          <w:sz w:val="22"/>
        </w:rPr>
        <w:t>感受性測試的原則與方法：紙錠法、最低抑菌濃度法</w:t>
      </w:r>
    </w:p>
    <w:p w:rsidR="00031475" w:rsidRDefault="007925AA" w:rsidP="007925A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color w:val="365F91" w:themeColor="accent1" w:themeShade="BF"/>
          <w:sz w:val="22"/>
        </w:rPr>
        <w:t>細菌藥物敏感性試驗規範---聚焦在主要抗藥性菌種</w:t>
      </w:r>
    </w:p>
    <w:p w:rsidR="00B85F3D" w:rsidRPr="00B85F3D" w:rsidRDefault="00195C5D" w:rsidP="007925A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365F91" w:themeColor="accent1" w:themeShade="BF"/>
        </w:rPr>
      </w:pPr>
      <w:r>
        <w:rPr>
          <w:rFonts w:ascii="標楷體" w:eastAsia="標楷體" w:hAnsi="標楷體" w:hint="eastAsia"/>
          <w:color w:val="365F91" w:themeColor="accent1" w:themeShade="BF"/>
        </w:rPr>
        <w:t>微生物染色法簡介革蘭氏染色與抗酸</w:t>
      </w:r>
      <w:r w:rsidR="00B85F3D" w:rsidRPr="00B85F3D">
        <w:rPr>
          <w:rFonts w:ascii="標楷體" w:eastAsia="標楷體" w:hAnsi="標楷體" w:hint="eastAsia"/>
          <w:color w:val="365F91" w:themeColor="accent1" w:themeShade="BF"/>
        </w:rPr>
        <w:t>染色</w:t>
      </w:r>
      <w:r>
        <w:rPr>
          <w:rFonts w:ascii="標楷體" w:eastAsia="標楷體" w:hAnsi="標楷體" w:hint="eastAsia"/>
          <w:color w:val="365F91" w:themeColor="accent1" w:themeShade="BF"/>
        </w:rPr>
        <w:t xml:space="preserve">Gram stain </w:t>
      </w:r>
      <w:r>
        <w:rPr>
          <w:rFonts w:ascii="標楷體" w:eastAsia="標楷體" w:hAnsi="標楷體"/>
          <w:color w:val="365F91" w:themeColor="accent1" w:themeShade="BF"/>
        </w:rPr>
        <w:t>a</w:t>
      </w:r>
      <w:r>
        <w:rPr>
          <w:rFonts w:ascii="標楷體" w:eastAsia="標楷體" w:hAnsi="標楷體" w:hint="eastAsia"/>
          <w:color w:val="365F91" w:themeColor="accent1" w:themeShade="BF"/>
        </w:rPr>
        <w:t xml:space="preserve">nd </w:t>
      </w:r>
      <w:r>
        <w:rPr>
          <w:rFonts w:ascii="標楷體" w:eastAsia="標楷體" w:hAnsi="標楷體"/>
          <w:color w:val="365F91" w:themeColor="accent1" w:themeShade="BF"/>
        </w:rPr>
        <w:t>Acid fast stain</w:t>
      </w:r>
    </w:p>
    <w:p w:rsidR="00AD608A" w:rsidRPr="00195C5D" w:rsidRDefault="00AD608A" w:rsidP="00AD608A">
      <w:pPr>
        <w:rPr>
          <w:rFonts w:ascii="標楷體" w:eastAsia="標楷體" w:hAnsi="標楷體"/>
          <w:color w:val="365F91" w:themeColor="accent1" w:themeShade="BF"/>
          <w:sz w:val="22"/>
        </w:rPr>
      </w:pPr>
    </w:p>
    <w:p w:rsidR="00E05D39" w:rsidRDefault="00E05D39" w:rsidP="009E22D6">
      <w:pPr>
        <w:pStyle w:val="a3"/>
        <w:ind w:leftChars="0" w:left="360" w:firstLineChars="50" w:firstLine="120"/>
      </w:pPr>
      <w:r>
        <w:rPr>
          <w:rFonts w:hint="eastAsia"/>
          <w:noProof/>
        </w:rPr>
        <w:drawing>
          <wp:inline distT="0" distB="0" distL="0" distR="0" wp14:anchorId="1A1DEF9E" wp14:editId="097E353A">
            <wp:extent cx="4150159" cy="2775005"/>
            <wp:effectExtent l="0" t="0" r="3175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335" cy="277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C01" w:rsidRDefault="00D35C01" w:rsidP="00400922">
      <w:pPr>
        <w:rPr>
          <w:rFonts w:hint="eastAsia"/>
        </w:rPr>
      </w:pPr>
    </w:p>
    <w:p w:rsidR="00F612AB" w:rsidRDefault="00F612AB" w:rsidP="00AB4882">
      <w:pPr>
        <w:pStyle w:val="a3"/>
        <w:ind w:leftChars="150" w:left="600" w:hangingChars="100" w:hanging="240"/>
      </w:pPr>
    </w:p>
    <w:p w:rsidR="00F612AB" w:rsidRDefault="00F612AB" w:rsidP="00400922">
      <w:pPr>
        <w:rPr>
          <w:rFonts w:hint="eastAsia"/>
        </w:rPr>
      </w:pPr>
    </w:p>
    <w:p w:rsidR="00F612AB" w:rsidRDefault="00F612AB" w:rsidP="00AB4882">
      <w:pPr>
        <w:pStyle w:val="a3"/>
        <w:ind w:leftChars="150" w:left="600" w:hangingChars="100" w:hanging="240"/>
      </w:pPr>
    </w:p>
    <w:p w:rsidR="00AB4882" w:rsidRPr="00755648" w:rsidRDefault="004A3BC8" w:rsidP="00755648">
      <w:pPr>
        <w:ind w:leftChars="124" w:left="298"/>
        <w:rPr>
          <w:sz w:val="22"/>
        </w:rPr>
      </w:pPr>
      <w:r w:rsidRPr="00755648">
        <w:rPr>
          <w:rFonts w:hint="eastAsia"/>
          <w:sz w:val="22"/>
        </w:rPr>
        <w:lastRenderedPageBreak/>
        <w:t>B.</w:t>
      </w:r>
      <w:r w:rsidR="0044412E" w:rsidRPr="00755648">
        <w:rPr>
          <w:rFonts w:asciiTheme="minorEastAsia" w:hAnsiTheme="minorEastAsia" w:hint="eastAsia"/>
          <w:sz w:val="22"/>
        </w:rPr>
        <w:t>請於解壓縮後打開資料夾，</w:t>
      </w:r>
      <w:r w:rsidR="00AB4882" w:rsidRPr="00755648">
        <w:rPr>
          <w:rFonts w:hint="eastAsia"/>
          <w:sz w:val="22"/>
        </w:rPr>
        <w:t>直接點選</w:t>
      </w:r>
      <w:r w:rsidR="0044412E" w:rsidRPr="00755648">
        <w:rPr>
          <w:rFonts w:hint="eastAsia"/>
          <w:sz w:val="22"/>
        </w:rPr>
        <w:t>viewer</w:t>
      </w:r>
      <w:r w:rsidR="00AB4882" w:rsidRPr="00755648">
        <w:rPr>
          <w:rFonts w:hint="eastAsia"/>
          <w:sz w:val="22"/>
        </w:rPr>
        <w:t>進入課程</w:t>
      </w:r>
      <w:r w:rsidR="00AB4882" w:rsidRPr="00755648">
        <w:rPr>
          <w:rFonts w:hint="eastAsia"/>
          <w:sz w:val="22"/>
        </w:rPr>
        <w:t xml:space="preserve"> (</w:t>
      </w:r>
      <w:r w:rsidR="00AB4882" w:rsidRPr="00755648">
        <w:rPr>
          <w:rFonts w:hint="eastAsia"/>
          <w:sz w:val="22"/>
        </w:rPr>
        <w:t>如</w:t>
      </w:r>
      <w:r w:rsidR="000E5FBC" w:rsidRPr="00755648">
        <w:rPr>
          <w:rFonts w:hint="eastAsia"/>
          <w:sz w:val="22"/>
        </w:rPr>
        <w:t>下</w:t>
      </w:r>
      <w:r w:rsidR="00AB4882" w:rsidRPr="00755648">
        <w:rPr>
          <w:rFonts w:hint="eastAsia"/>
          <w:sz w:val="22"/>
        </w:rPr>
        <w:t>圖所示</w:t>
      </w:r>
      <w:r w:rsidR="00AB4882" w:rsidRPr="00755648">
        <w:rPr>
          <w:rFonts w:hint="eastAsia"/>
          <w:sz w:val="22"/>
        </w:rPr>
        <w:t>)</w:t>
      </w:r>
    </w:p>
    <w:p w:rsidR="00C82178" w:rsidRPr="00C82178" w:rsidRDefault="00C82178" w:rsidP="00C82178">
      <w:pPr>
        <w:pStyle w:val="a3"/>
        <w:ind w:leftChars="150" w:left="580" w:hangingChars="100" w:hanging="220"/>
        <w:rPr>
          <w:color w:val="FF0000"/>
          <w:sz w:val="22"/>
        </w:rPr>
      </w:pPr>
      <w:r w:rsidRPr="00C82178">
        <w:rPr>
          <w:rFonts w:hint="eastAsia"/>
          <w:color w:val="FF0000"/>
          <w:sz w:val="22"/>
        </w:rPr>
        <w:t>(</w:t>
      </w:r>
      <w:r w:rsidRPr="00C82178">
        <w:rPr>
          <w:rFonts w:ascii="新細明體" w:eastAsia="新細明體" w:hAnsi="新細明體" w:hint="eastAsia"/>
          <w:color w:val="FF0000"/>
          <w:sz w:val="22"/>
        </w:rPr>
        <w:t>※</w:t>
      </w:r>
      <w:r>
        <w:rPr>
          <w:rFonts w:ascii="新細明體" w:eastAsia="新細明體" w:hAnsi="新細明體" w:hint="eastAsia"/>
          <w:color w:val="FF0000"/>
          <w:sz w:val="22"/>
        </w:rPr>
        <w:t>瀏覽</w:t>
      </w:r>
      <w:r w:rsidRPr="00C82178">
        <w:rPr>
          <w:rFonts w:ascii="新細明體" w:eastAsia="新細明體" w:hAnsi="新細明體" w:hint="eastAsia"/>
          <w:color w:val="FF0000"/>
          <w:sz w:val="22"/>
        </w:rPr>
        <w:t>器版本</w:t>
      </w:r>
      <w:r w:rsidRPr="00C82178">
        <w:rPr>
          <w:rFonts w:hint="eastAsia"/>
          <w:color w:val="FF0000"/>
          <w:sz w:val="22"/>
        </w:rPr>
        <w:t>不建議使用</w:t>
      </w:r>
      <w:r w:rsidRPr="00C82178">
        <w:rPr>
          <w:rFonts w:hint="eastAsia"/>
          <w:color w:val="FF0000"/>
          <w:sz w:val="22"/>
        </w:rPr>
        <w:t>IE 11</w:t>
      </w:r>
      <w:r w:rsidRPr="00C82178">
        <w:rPr>
          <w:rFonts w:hint="eastAsia"/>
          <w:color w:val="FF0000"/>
          <w:sz w:val="22"/>
        </w:rPr>
        <w:t>以上</w:t>
      </w:r>
      <w:r w:rsidRPr="00C82178">
        <w:rPr>
          <w:rFonts w:hint="eastAsia"/>
          <w:color w:val="FF0000"/>
          <w:sz w:val="22"/>
        </w:rPr>
        <w:t>)</w:t>
      </w:r>
    </w:p>
    <w:p w:rsidR="00F612AB" w:rsidRPr="00F612AB" w:rsidRDefault="00F612AB" w:rsidP="00F612AB">
      <w:pPr>
        <w:pStyle w:val="a3"/>
        <w:ind w:leftChars="59" w:left="598" w:hangingChars="190" w:hanging="456"/>
        <w:rPr>
          <w:rFonts w:ascii="Times New Roman" w:eastAsia="標楷體" w:hAnsi="Times New Roman" w:cs="Times New Roman"/>
          <w:b/>
          <w:u w:val="single"/>
        </w:rPr>
      </w:pPr>
      <w:r w:rsidRPr="00F612AB">
        <w:rPr>
          <w:rFonts w:ascii="Times New Roman" w:eastAsia="標楷體" w:hAnsi="Times New Roman" w:cs="Times New Roman" w:hint="eastAsia"/>
          <w:color w:val="365F91" w:themeColor="accent1" w:themeShade="BF"/>
        </w:rPr>
        <w:t>1.</w:t>
      </w:r>
      <w:r w:rsidRPr="00F612AB">
        <w:rPr>
          <w:rFonts w:ascii="Times New Roman" w:eastAsia="標楷體" w:hAnsi="Times New Roman" w:cs="Times New Roman"/>
          <w:color w:val="365F91" w:themeColor="accent1" w:themeShade="BF"/>
        </w:rPr>
        <w:t>WHONET</w:t>
      </w:r>
      <w:r w:rsidRPr="00F612AB">
        <w:rPr>
          <w:rFonts w:ascii="Times New Roman" w:eastAsia="標楷體" w:hAnsi="Times New Roman" w:cs="Times New Roman"/>
          <w:color w:val="365F91" w:themeColor="accent1" w:themeShade="BF"/>
        </w:rPr>
        <w:t>教育訓練</w:t>
      </w:r>
    </w:p>
    <w:p w:rsidR="00277C45" w:rsidRDefault="00AB4882" w:rsidP="002831BB">
      <w:pPr>
        <w:pStyle w:val="a3"/>
        <w:ind w:leftChars="150" w:left="600" w:hangingChars="100" w:hanging="240"/>
      </w:pPr>
      <w:r>
        <w:rPr>
          <w:noProof/>
        </w:rPr>
        <w:drawing>
          <wp:inline distT="0" distB="0" distL="0" distR="0" wp14:anchorId="1F3321E7" wp14:editId="07A865B3">
            <wp:extent cx="4145525" cy="2806810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857" cy="280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Default="00F612AB" w:rsidP="00AE41F6">
      <w:pPr>
        <w:pStyle w:val="a3"/>
        <w:ind w:leftChars="150" w:left="580" w:hangingChars="100" w:hanging="220"/>
        <w:rPr>
          <w:sz w:val="22"/>
        </w:rPr>
      </w:pPr>
    </w:p>
    <w:p w:rsidR="00F612AB" w:rsidRPr="00C82178" w:rsidRDefault="00F612AB" w:rsidP="00C82178">
      <w:pPr>
        <w:rPr>
          <w:sz w:val="22"/>
        </w:rPr>
      </w:pPr>
    </w:p>
    <w:p w:rsidR="001958D6" w:rsidRDefault="001958D6" w:rsidP="00C82178">
      <w:pPr>
        <w:ind w:leftChars="124" w:left="298"/>
        <w:rPr>
          <w:sz w:val="22"/>
        </w:rPr>
      </w:pPr>
    </w:p>
    <w:p w:rsidR="00400922" w:rsidRPr="00C82178" w:rsidRDefault="00400922" w:rsidP="00C82178">
      <w:pPr>
        <w:ind w:leftChars="124" w:left="298"/>
        <w:rPr>
          <w:rFonts w:hint="eastAsia"/>
          <w:sz w:val="22"/>
        </w:rPr>
      </w:pPr>
      <w:bookmarkStart w:id="0" w:name="_GoBack"/>
      <w:bookmarkEnd w:id="0"/>
    </w:p>
    <w:p w:rsidR="00900748" w:rsidRPr="00400922" w:rsidRDefault="00400922" w:rsidP="00400922">
      <w:pPr>
        <w:rPr>
          <w:sz w:val="22"/>
        </w:rPr>
      </w:pPr>
      <w:r>
        <w:rPr>
          <w:rFonts w:hint="eastAsia"/>
          <w:sz w:val="22"/>
        </w:rPr>
        <w:lastRenderedPageBreak/>
        <w:t xml:space="preserve">  </w:t>
      </w:r>
      <w:r w:rsidR="00F612AB" w:rsidRPr="00400922">
        <w:rPr>
          <w:rFonts w:hint="eastAsia"/>
          <w:sz w:val="22"/>
        </w:rPr>
        <w:t>C</w:t>
      </w:r>
      <w:r w:rsidR="004A3BC8" w:rsidRPr="00400922">
        <w:rPr>
          <w:rFonts w:hint="eastAsia"/>
          <w:sz w:val="22"/>
        </w:rPr>
        <w:t>.</w:t>
      </w:r>
      <w:r w:rsidR="002831BB" w:rsidRPr="00400922">
        <w:rPr>
          <w:rFonts w:asciiTheme="minorEastAsia" w:hAnsiTheme="minorEastAsia" w:hint="eastAsia"/>
          <w:sz w:val="22"/>
        </w:rPr>
        <w:t>下列課程請於解壓縮後打開資料夾</w:t>
      </w:r>
      <w:r w:rsidR="002831BB" w:rsidRPr="00400922">
        <w:rPr>
          <w:rFonts w:ascii="新細明體" w:eastAsia="新細明體" w:hAnsi="新細明體" w:hint="eastAsia"/>
          <w:sz w:val="22"/>
        </w:rPr>
        <w:t>，</w:t>
      </w:r>
      <w:r w:rsidR="00900748" w:rsidRPr="00400922">
        <w:rPr>
          <w:rFonts w:hint="eastAsia"/>
          <w:sz w:val="22"/>
        </w:rPr>
        <w:t>點選</w:t>
      </w:r>
      <w:r w:rsidR="00900748" w:rsidRPr="00400922">
        <w:rPr>
          <w:rFonts w:hint="eastAsia"/>
          <w:sz w:val="22"/>
        </w:rPr>
        <w:t>LRNViewer</w:t>
      </w:r>
      <w:r w:rsidR="00B47CC0" w:rsidRPr="00400922">
        <w:rPr>
          <w:rFonts w:hint="eastAsia"/>
          <w:sz w:val="22"/>
        </w:rPr>
        <w:t xml:space="preserve"> </w:t>
      </w:r>
      <w:r w:rsidR="00900748" w:rsidRPr="00400922">
        <w:rPr>
          <w:rFonts w:hint="eastAsia"/>
          <w:sz w:val="22"/>
        </w:rPr>
        <w:t>(</w:t>
      </w:r>
      <w:r w:rsidR="00900748" w:rsidRPr="00400922">
        <w:rPr>
          <w:rFonts w:hint="eastAsia"/>
          <w:sz w:val="22"/>
        </w:rPr>
        <w:t>如</w:t>
      </w:r>
      <w:r w:rsidR="000E5FBC" w:rsidRPr="00400922">
        <w:rPr>
          <w:rFonts w:hint="eastAsia"/>
          <w:sz w:val="22"/>
        </w:rPr>
        <w:t>下</w:t>
      </w:r>
      <w:r w:rsidR="00900748" w:rsidRPr="00400922">
        <w:rPr>
          <w:rFonts w:hint="eastAsia"/>
          <w:sz w:val="22"/>
        </w:rPr>
        <w:t>圖所示</w:t>
      </w:r>
      <w:r w:rsidR="00900748" w:rsidRPr="00400922">
        <w:rPr>
          <w:rFonts w:hint="eastAsia"/>
          <w:sz w:val="22"/>
        </w:rPr>
        <w:t>)</w:t>
      </w:r>
    </w:p>
    <w:p w:rsidR="00C82178" w:rsidRPr="00C82178" w:rsidRDefault="00C82178" w:rsidP="00AE41F6">
      <w:pPr>
        <w:pStyle w:val="a3"/>
        <w:ind w:leftChars="150" w:left="580" w:hangingChars="100" w:hanging="220"/>
        <w:rPr>
          <w:color w:val="FF0000"/>
          <w:sz w:val="22"/>
        </w:rPr>
      </w:pPr>
      <w:r w:rsidRPr="00C82178">
        <w:rPr>
          <w:rFonts w:hint="eastAsia"/>
          <w:color w:val="FF0000"/>
          <w:sz w:val="22"/>
        </w:rPr>
        <w:t>(</w:t>
      </w:r>
      <w:r w:rsidRPr="00C82178">
        <w:rPr>
          <w:rFonts w:ascii="新細明體" w:eastAsia="新細明體" w:hAnsi="新細明體" w:hint="eastAsia"/>
          <w:color w:val="FF0000"/>
          <w:sz w:val="22"/>
        </w:rPr>
        <w:t>※</w:t>
      </w:r>
      <w:r>
        <w:rPr>
          <w:rFonts w:ascii="新細明體" w:eastAsia="新細明體" w:hAnsi="新細明體" w:hint="eastAsia"/>
          <w:color w:val="FF0000"/>
          <w:sz w:val="22"/>
        </w:rPr>
        <w:t>瀏覽</w:t>
      </w:r>
      <w:r w:rsidRPr="00C82178">
        <w:rPr>
          <w:rFonts w:ascii="新細明體" w:eastAsia="新細明體" w:hAnsi="新細明體" w:hint="eastAsia"/>
          <w:color w:val="FF0000"/>
          <w:sz w:val="22"/>
        </w:rPr>
        <w:t>器版本</w:t>
      </w:r>
      <w:r w:rsidRPr="00C82178">
        <w:rPr>
          <w:rFonts w:hint="eastAsia"/>
          <w:color w:val="FF0000"/>
          <w:sz w:val="22"/>
        </w:rPr>
        <w:t>不建議使用</w:t>
      </w:r>
      <w:r w:rsidRPr="00C82178">
        <w:rPr>
          <w:rFonts w:hint="eastAsia"/>
          <w:color w:val="FF0000"/>
          <w:sz w:val="22"/>
        </w:rPr>
        <w:t>IE 11</w:t>
      </w:r>
      <w:r w:rsidRPr="00C82178">
        <w:rPr>
          <w:rFonts w:hint="eastAsia"/>
          <w:color w:val="FF0000"/>
          <w:sz w:val="22"/>
        </w:rPr>
        <w:t>以上</w:t>
      </w:r>
      <w:r w:rsidRPr="00C82178">
        <w:rPr>
          <w:rFonts w:hint="eastAsia"/>
          <w:color w:val="FF0000"/>
          <w:sz w:val="22"/>
        </w:rPr>
        <w:t>)</w:t>
      </w:r>
    </w:p>
    <w:p w:rsidR="009E22D6" w:rsidRPr="008C65CD" w:rsidRDefault="008C65CD" w:rsidP="008C65CD">
      <w:pPr>
        <w:pStyle w:val="a3"/>
        <w:ind w:leftChars="59" w:left="617" w:hangingChars="198" w:hanging="475"/>
        <w:rPr>
          <w:rFonts w:ascii="Times New Roman" w:eastAsia="標楷體" w:hAnsi="Times New Roman" w:cs="Times New Roman"/>
          <w:color w:val="365F91" w:themeColor="accent1" w:themeShade="BF"/>
        </w:rPr>
      </w:pPr>
      <w:r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1.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抗生素管理工具介紹（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DDD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）與其運用方式及相關報表</w:t>
      </w:r>
    </w:p>
    <w:p w:rsidR="009E22D6" w:rsidRPr="008C65CD" w:rsidRDefault="008C65CD" w:rsidP="008C65CD">
      <w:pPr>
        <w:pStyle w:val="a3"/>
        <w:ind w:leftChars="60" w:left="622" w:hangingChars="199" w:hanging="478"/>
        <w:rPr>
          <w:rFonts w:ascii="Times New Roman" w:eastAsia="標楷體" w:hAnsi="Times New Roman" w:cs="Times New Roman"/>
          <w:color w:val="365F91" w:themeColor="accent1" w:themeShade="BF"/>
        </w:rPr>
      </w:pPr>
      <w:r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2.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抗生素臨床實務運用</w:t>
      </w:r>
    </w:p>
    <w:p w:rsidR="009E22D6" w:rsidRPr="008C65CD" w:rsidRDefault="008C65CD" w:rsidP="008C65CD">
      <w:pPr>
        <w:pStyle w:val="a3"/>
        <w:ind w:leftChars="60" w:left="622" w:hangingChars="199" w:hanging="478"/>
        <w:rPr>
          <w:rFonts w:ascii="Times New Roman" w:eastAsia="標楷體" w:hAnsi="Times New Roman" w:cs="Times New Roman"/>
          <w:color w:val="365F91" w:themeColor="accent1" w:themeShade="BF"/>
        </w:rPr>
      </w:pPr>
      <w:r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3.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抗生素管理計畫（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ASP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）的規劃與運用</w:t>
      </w:r>
    </w:p>
    <w:p w:rsidR="009E22D6" w:rsidRPr="008C65CD" w:rsidRDefault="008C65CD" w:rsidP="00435A7E">
      <w:pPr>
        <w:pStyle w:val="a3"/>
        <w:ind w:leftChars="60" w:left="360" w:hangingChars="90" w:hanging="216"/>
        <w:rPr>
          <w:rFonts w:ascii="Times New Roman" w:eastAsia="標楷體" w:hAnsi="Times New Roman" w:cs="Times New Roman"/>
          <w:color w:val="365F91" w:themeColor="accent1" w:themeShade="BF"/>
        </w:rPr>
      </w:pPr>
      <w:r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4.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多重抗藥性細菌（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CRAB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、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CRE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、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MRSA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、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VRE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、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MDRO</w:t>
      </w:r>
      <w:r w:rsidR="009E22D6" w:rsidRPr="008C65CD">
        <w:rPr>
          <w:rFonts w:ascii="Times New Roman" w:eastAsia="標楷體" w:hAnsi="Times New Roman" w:cs="Times New Roman"/>
          <w:color w:val="365F91" w:themeColor="accent1" w:themeShade="BF"/>
        </w:rPr>
        <w:t>）病人感染管制措施及組合式照護</w:t>
      </w:r>
    </w:p>
    <w:p w:rsidR="009E22D6" w:rsidRPr="008C65CD" w:rsidRDefault="008C65CD" w:rsidP="008C65CD">
      <w:pPr>
        <w:pStyle w:val="a3"/>
        <w:ind w:leftChars="60" w:left="622" w:hangingChars="199" w:hanging="478"/>
        <w:rPr>
          <w:rFonts w:ascii="Times New Roman" w:eastAsia="標楷體" w:hAnsi="Times New Roman" w:cs="Times New Roman"/>
          <w:color w:val="365F91" w:themeColor="accent1" w:themeShade="BF"/>
        </w:rPr>
      </w:pPr>
      <w:r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5.</w:t>
      </w:r>
      <w:r w:rsidR="009E22D6" w:rsidRPr="008C65CD">
        <w:rPr>
          <w:rFonts w:ascii="Times New Roman" w:eastAsia="標楷體" w:hAnsi="Times New Roman" w:cs="Times New Roman" w:hint="eastAsia"/>
          <w:color w:val="365F91" w:themeColor="accent1" w:themeShade="BF"/>
        </w:rPr>
        <w:t>醫療照護相關感染微生物與常見抗藥性細菌介紹</w:t>
      </w:r>
    </w:p>
    <w:p w:rsidR="004A3BC8" w:rsidRDefault="00900748" w:rsidP="00B829F8">
      <w:pPr>
        <w:pStyle w:val="a3"/>
        <w:ind w:leftChars="0" w:left="360"/>
      </w:pPr>
      <w:r>
        <w:rPr>
          <w:noProof/>
        </w:rPr>
        <w:drawing>
          <wp:inline distT="0" distB="0" distL="0" distR="0">
            <wp:extent cx="4174166" cy="2099144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931" cy="209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4C4" w:rsidRDefault="00F424C4" w:rsidP="00B829F8">
      <w:pPr>
        <w:pStyle w:val="a3"/>
        <w:ind w:leftChars="0" w:left="360"/>
      </w:pPr>
      <w:r w:rsidRPr="00B829F8">
        <w:sym w:font="Wingdings" w:char="F0E0"/>
      </w:r>
      <w:r w:rsidRPr="00AE41F6">
        <w:rPr>
          <w:rFonts w:hint="eastAsia"/>
          <w:sz w:val="22"/>
        </w:rPr>
        <w:t>會出現以下畫面</w:t>
      </w:r>
      <w:r w:rsidR="00ED4F47" w:rsidRPr="00AE41F6">
        <w:rPr>
          <w:rFonts w:asciiTheme="minorEastAsia" w:hAnsiTheme="minorEastAsia" w:hint="eastAsia"/>
          <w:sz w:val="22"/>
        </w:rPr>
        <w:t>，</w:t>
      </w:r>
      <w:r w:rsidRPr="00AE41F6">
        <w:rPr>
          <w:rFonts w:hint="eastAsia"/>
          <w:sz w:val="22"/>
        </w:rPr>
        <w:t>選擇課程內容</w:t>
      </w:r>
      <w:r w:rsidRPr="00AE41F6">
        <w:rPr>
          <w:rFonts w:hint="eastAsia"/>
          <w:sz w:val="22"/>
        </w:rPr>
        <w:t>(</w:t>
      </w:r>
      <w:r w:rsidRPr="00AE41F6">
        <w:rPr>
          <w:rFonts w:hint="eastAsia"/>
          <w:sz w:val="22"/>
        </w:rPr>
        <w:t>如</w:t>
      </w:r>
      <w:r w:rsidR="000E5FBC" w:rsidRPr="00AE41F6">
        <w:rPr>
          <w:rFonts w:hint="eastAsia"/>
          <w:sz w:val="22"/>
        </w:rPr>
        <w:t>下</w:t>
      </w:r>
      <w:r w:rsidRPr="00AE41F6">
        <w:rPr>
          <w:rFonts w:hint="eastAsia"/>
          <w:sz w:val="22"/>
        </w:rPr>
        <w:t>圖所示</w:t>
      </w:r>
      <w:r w:rsidRPr="00AE41F6">
        <w:rPr>
          <w:rFonts w:hint="eastAsia"/>
          <w:sz w:val="22"/>
        </w:rPr>
        <w:t>)</w:t>
      </w:r>
    </w:p>
    <w:p w:rsidR="00F424C4" w:rsidRDefault="00F424C4" w:rsidP="00B829F8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>
            <wp:extent cx="3669475" cy="2732447"/>
            <wp:effectExtent l="0" t="0" r="762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5978" cy="274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4C4" w:rsidRDefault="00F424C4" w:rsidP="00B829F8">
      <w:pPr>
        <w:pStyle w:val="a3"/>
        <w:ind w:leftChars="0" w:left="360"/>
      </w:pPr>
      <w:r w:rsidRPr="00B829F8">
        <w:sym w:font="Wingdings" w:char="F0E0"/>
      </w:r>
      <w:r w:rsidRPr="00AE41F6">
        <w:rPr>
          <w:rFonts w:hint="eastAsia"/>
          <w:sz w:val="22"/>
        </w:rPr>
        <w:t>之後會跳出英文對話方塊</w:t>
      </w:r>
      <w:r w:rsidRPr="00AE41F6">
        <w:rPr>
          <w:rFonts w:asciiTheme="minorEastAsia" w:hAnsiTheme="minorEastAsia" w:hint="eastAsia"/>
          <w:sz w:val="22"/>
        </w:rPr>
        <w:t>，</w:t>
      </w:r>
      <w:r w:rsidRPr="00AE41F6">
        <w:rPr>
          <w:rFonts w:hint="eastAsia"/>
          <w:sz w:val="22"/>
        </w:rPr>
        <w:t>請點選</w:t>
      </w:r>
      <w:r w:rsidRPr="00AE41F6">
        <w:rPr>
          <w:rFonts w:hint="eastAsia"/>
          <w:b/>
          <w:sz w:val="22"/>
        </w:rPr>
        <w:t>確定</w:t>
      </w:r>
      <w:r w:rsidRPr="00AE41F6">
        <w:rPr>
          <w:rFonts w:hint="eastAsia"/>
          <w:sz w:val="22"/>
        </w:rPr>
        <w:t>(</w:t>
      </w:r>
      <w:r w:rsidRPr="00AE41F6">
        <w:rPr>
          <w:rFonts w:hint="eastAsia"/>
          <w:sz w:val="22"/>
        </w:rPr>
        <w:t>如</w:t>
      </w:r>
      <w:r w:rsidR="000E5FBC" w:rsidRPr="00AE41F6">
        <w:rPr>
          <w:rFonts w:hint="eastAsia"/>
          <w:sz w:val="22"/>
        </w:rPr>
        <w:t>下</w:t>
      </w:r>
      <w:r w:rsidRPr="00AE41F6">
        <w:rPr>
          <w:rFonts w:hint="eastAsia"/>
          <w:sz w:val="22"/>
        </w:rPr>
        <w:t>圖所示</w:t>
      </w:r>
      <w:r w:rsidRPr="00AE41F6">
        <w:rPr>
          <w:rFonts w:hint="eastAsia"/>
          <w:sz w:val="22"/>
        </w:rPr>
        <w:t>)</w:t>
      </w:r>
      <w:r w:rsidR="00260009" w:rsidRPr="00AE41F6">
        <w:rPr>
          <w:sz w:val="22"/>
        </w:rPr>
        <w:t xml:space="preserve"> </w:t>
      </w:r>
      <w:r w:rsidR="00260009" w:rsidRPr="00AE41F6">
        <w:rPr>
          <w:sz w:val="22"/>
        </w:rPr>
        <w:sym w:font="Wingdings" w:char="F0E0"/>
      </w:r>
      <w:r w:rsidR="00260009" w:rsidRPr="00AE41F6">
        <w:rPr>
          <w:rFonts w:hint="eastAsia"/>
          <w:sz w:val="22"/>
        </w:rPr>
        <w:t>課程開始</w:t>
      </w:r>
    </w:p>
    <w:p w:rsidR="00ED4F47" w:rsidRDefault="000D010E" w:rsidP="00C73DB6">
      <w:pPr>
        <w:pStyle w:val="a3"/>
        <w:ind w:leftChars="0" w:left="360"/>
      </w:pPr>
      <w:r>
        <w:rPr>
          <w:rFonts w:hint="eastAsia"/>
          <w:noProof/>
        </w:rPr>
        <w:drawing>
          <wp:inline distT="0" distB="0" distL="0" distR="0" wp14:anchorId="393F4118" wp14:editId="4AB119F9">
            <wp:extent cx="3793985" cy="276669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588" cy="278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C01" w:rsidRDefault="00D35C01" w:rsidP="00FB6D7D">
      <w:pPr>
        <w:pStyle w:val="a3"/>
        <w:ind w:leftChars="150" w:left="600" w:hangingChars="100" w:hanging="240"/>
      </w:pPr>
    </w:p>
    <w:p w:rsidR="00FB6D7D" w:rsidRDefault="00FB6D7D" w:rsidP="00FB6D7D">
      <w:pPr>
        <w:pStyle w:val="a3"/>
        <w:ind w:leftChars="150" w:left="600" w:hangingChars="100" w:hanging="240"/>
        <w:rPr>
          <w:sz w:val="22"/>
        </w:rPr>
      </w:pPr>
      <w:r>
        <w:rPr>
          <w:rFonts w:hint="eastAsia"/>
        </w:rPr>
        <w:t>D.</w:t>
      </w:r>
      <w:r w:rsidRPr="00AE41F6">
        <w:rPr>
          <w:rFonts w:asciiTheme="minorEastAsia" w:hAnsiTheme="minorEastAsia" w:hint="eastAsia"/>
          <w:sz w:val="22"/>
        </w:rPr>
        <w:t>下列課程請於解壓縮後打開資料夾</w:t>
      </w:r>
      <w:r w:rsidRPr="00AE41F6">
        <w:rPr>
          <w:rFonts w:ascii="新細明體" w:eastAsia="新細明體" w:hAnsi="新細明體" w:hint="eastAsia"/>
          <w:sz w:val="22"/>
        </w:rPr>
        <w:t>，</w:t>
      </w:r>
      <w:r w:rsidRPr="00AE41F6">
        <w:rPr>
          <w:rFonts w:hint="eastAsia"/>
          <w:sz w:val="22"/>
        </w:rPr>
        <w:t>點選</w:t>
      </w:r>
      <w:r w:rsidR="00D35C01">
        <w:rPr>
          <w:sz w:val="22"/>
        </w:rPr>
        <w:t>index(HTML</w:t>
      </w:r>
      <w:r w:rsidR="00D35C01">
        <w:rPr>
          <w:rFonts w:hint="eastAsia"/>
          <w:sz w:val="22"/>
        </w:rPr>
        <w:t>文件</w:t>
      </w:r>
      <w:r w:rsidR="00D35C01">
        <w:rPr>
          <w:sz w:val="22"/>
        </w:rPr>
        <w:t>)</w:t>
      </w:r>
      <w:r>
        <w:rPr>
          <w:rFonts w:hint="eastAsia"/>
          <w:sz w:val="22"/>
        </w:rPr>
        <w:t xml:space="preserve"> </w:t>
      </w:r>
      <w:r w:rsidRPr="00AE41F6">
        <w:rPr>
          <w:rFonts w:hint="eastAsia"/>
          <w:sz w:val="22"/>
        </w:rPr>
        <w:t>(</w:t>
      </w:r>
      <w:r w:rsidRPr="00AE41F6">
        <w:rPr>
          <w:rFonts w:hint="eastAsia"/>
          <w:sz w:val="22"/>
        </w:rPr>
        <w:t>如下圖所示</w:t>
      </w:r>
      <w:r w:rsidRPr="00AE41F6">
        <w:rPr>
          <w:rFonts w:hint="eastAsia"/>
          <w:sz w:val="22"/>
        </w:rPr>
        <w:t>)</w:t>
      </w:r>
    </w:p>
    <w:p w:rsidR="00FB6D7D" w:rsidRDefault="00FB6D7D" w:rsidP="00FB6D7D">
      <w:pPr>
        <w:pStyle w:val="a3"/>
        <w:ind w:leftChars="0" w:left="360"/>
      </w:pPr>
      <w:r w:rsidRPr="00C82178">
        <w:rPr>
          <w:rFonts w:hint="eastAsia"/>
          <w:color w:val="FF0000"/>
          <w:sz w:val="22"/>
        </w:rPr>
        <w:t>(</w:t>
      </w:r>
      <w:r w:rsidRPr="00C82178">
        <w:rPr>
          <w:rFonts w:ascii="新細明體" w:eastAsia="新細明體" w:hAnsi="新細明體" w:hint="eastAsia"/>
          <w:color w:val="FF0000"/>
          <w:sz w:val="22"/>
        </w:rPr>
        <w:t>※</w:t>
      </w:r>
      <w:r>
        <w:rPr>
          <w:rFonts w:ascii="新細明體" w:eastAsia="新細明體" w:hAnsi="新細明體" w:hint="eastAsia"/>
          <w:color w:val="FF0000"/>
          <w:sz w:val="22"/>
        </w:rPr>
        <w:t>瀏覽</w:t>
      </w:r>
      <w:r w:rsidRPr="00C82178">
        <w:rPr>
          <w:rFonts w:ascii="新細明體" w:eastAsia="新細明體" w:hAnsi="新細明體" w:hint="eastAsia"/>
          <w:color w:val="FF0000"/>
          <w:sz w:val="22"/>
        </w:rPr>
        <w:t>器版本</w:t>
      </w:r>
      <w:r w:rsidRPr="00C82178">
        <w:rPr>
          <w:rFonts w:hint="eastAsia"/>
          <w:color w:val="FF0000"/>
          <w:sz w:val="22"/>
        </w:rPr>
        <w:t>不建議使用</w:t>
      </w:r>
      <w:r w:rsidRPr="00C82178">
        <w:rPr>
          <w:rFonts w:hint="eastAsia"/>
          <w:color w:val="FF0000"/>
          <w:sz w:val="22"/>
        </w:rPr>
        <w:t>IE 11</w:t>
      </w:r>
      <w:r w:rsidRPr="00C82178">
        <w:rPr>
          <w:rFonts w:hint="eastAsia"/>
          <w:color w:val="FF0000"/>
          <w:sz w:val="22"/>
        </w:rPr>
        <w:t>以上</w:t>
      </w:r>
      <w:r w:rsidRPr="00C82178">
        <w:rPr>
          <w:rFonts w:hint="eastAsia"/>
          <w:color w:val="FF0000"/>
          <w:sz w:val="22"/>
        </w:rPr>
        <w:t>)</w:t>
      </w:r>
    </w:p>
    <w:p w:rsidR="00FB6D7D" w:rsidRPr="00D35C01" w:rsidRDefault="00FB6D7D" w:rsidP="00FB6D7D">
      <w:pPr>
        <w:rPr>
          <w:rFonts w:ascii="標楷體" w:eastAsia="標楷體" w:hAnsi="標楷體"/>
          <w:color w:val="365F91" w:themeColor="accent1" w:themeShade="BF"/>
        </w:rPr>
      </w:pPr>
      <w:r w:rsidRPr="00D35C01">
        <w:rPr>
          <w:rFonts w:ascii="標楷體" w:eastAsia="標楷體" w:hAnsi="標楷體" w:hint="eastAsia"/>
          <w:color w:val="365F91" w:themeColor="accent1" w:themeShade="BF"/>
        </w:rPr>
        <w:t>1.抗生素使用與抗藥性細菌</w:t>
      </w:r>
    </w:p>
    <w:p w:rsidR="00FB6D7D" w:rsidRPr="00D35C01" w:rsidRDefault="00D35C01" w:rsidP="00D35C01">
      <w:pPr>
        <w:rPr>
          <w:rFonts w:ascii="標楷體" w:eastAsia="標楷體" w:hAnsi="標楷體"/>
          <w:color w:val="365F91" w:themeColor="accent1" w:themeShade="BF"/>
          <w:sz w:val="22"/>
        </w:rPr>
      </w:pPr>
      <w:r>
        <w:rPr>
          <w:rFonts w:ascii="標楷體" w:eastAsia="標楷體" w:hAnsi="標楷體" w:hint="eastAsia"/>
          <w:noProof/>
          <w:color w:val="365F91" w:themeColor="accent1" w:themeShade="BF"/>
          <w:sz w:val="22"/>
        </w:rPr>
        <w:drawing>
          <wp:inline distT="0" distB="0" distL="0" distR="0">
            <wp:extent cx="5267325" cy="3533775"/>
            <wp:effectExtent l="0" t="0" r="9525" b="952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6D7D" w:rsidRPr="00D35C01" w:rsidSect="00277C45">
      <w:pgSz w:w="11906" w:h="16838"/>
      <w:pgMar w:top="284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7A7" w:rsidRDefault="002F77A7" w:rsidP="00E87A06">
      <w:r>
        <w:separator/>
      </w:r>
    </w:p>
  </w:endnote>
  <w:endnote w:type="continuationSeparator" w:id="0">
    <w:p w:rsidR="002F77A7" w:rsidRDefault="002F77A7" w:rsidP="00E8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7A7" w:rsidRDefault="002F77A7" w:rsidP="00E87A06">
      <w:r>
        <w:separator/>
      </w:r>
    </w:p>
  </w:footnote>
  <w:footnote w:type="continuationSeparator" w:id="0">
    <w:p w:rsidR="002F77A7" w:rsidRDefault="002F77A7" w:rsidP="00E87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521DBC"/>
    <w:multiLevelType w:val="hybridMultilevel"/>
    <w:tmpl w:val="C6066064"/>
    <w:lvl w:ilvl="0" w:tplc="3DFC462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A8A7C6A"/>
    <w:multiLevelType w:val="hybridMultilevel"/>
    <w:tmpl w:val="768EBE20"/>
    <w:lvl w:ilvl="0" w:tplc="D27C9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7F016ED"/>
    <w:multiLevelType w:val="hybridMultilevel"/>
    <w:tmpl w:val="63D8F1F2"/>
    <w:lvl w:ilvl="0" w:tplc="1862C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F8"/>
    <w:rsid w:val="00003D36"/>
    <w:rsid w:val="00031475"/>
    <w:rsid w:val="000602BD"/>
    <w:rsid w:val="00080585"/>
    <w:rsid w:val="000C0054"/>
    <w:rsid w:val="000D010E"/>
    <w:rsid w:val="000E37C6"/>
    <w:rsid w:val="000E5FBC"/>
    <w:rsid w:val="001420A5"/>
    <w:rsid w:val="001512D9"/>
    <w:rsid w:val="001958D6"/>
    <w:rsid w:val="00195C5D"/>
    <w:rsid w:val="001C135B"/>
    <w:rsid w:val="001D42A9"/>
    <w:rsid w:val="001F0202"/>
    <w:rsid w:val="0025286B"/>
    <w:rsid w:val="00260009"/>
    <w:rsid w:val="00277C45"/>
    <w:rsid w:val="002831BB"/>
    <w:rsid w:val="00290FEE"/>
    <w:rsid w:val="002F77A7"/>
    <w:rsid w:val="00302C68"/>
    <w:rsid w:val="00327135"/>
    <w:rsid w:val="0034548E"/>
    <w:rsid w:val="003627A1"/>
    <w:rsid w:val="00374D7C"/>
    <w:rsid w:val="003B3361"/>
    <w:rsid w:val="00400922"/>
    <w:rsid w:val="00435A7E"/>
    <w:rsid w:val="0044412E"/>
    <w:rsid w:val="00445CA1"/>
    <w:rsid w:val="00451DA1"/>
    <w:rsid w:val="00465DFA"/>
    <w:rsid w:val="004A3BC8"/>
    <w:rsid w:val="004C38B4"/>
    <w:rsid w:val="0051168C"/>
    <w:rsid w:val="00554F9E"/>
    <w:rsid w:val="005A2B6F"/>
    <w:rsid w:val="005B4EC4"/>
    <w:rsid w:val="005F6AEB"/>
    <w:rsid w:val="0065530F"/>
    <w:rsid w:val="006D678E"/>
    <w:rsid w:val="00751248"/>
    <w:rsid w:val="00755648"/>
    <w:rsid w:val="007925AA"/>
    <w:rsid w:val="007B5C9D"/>
    <w:rsid w:val="007D00F5"/>
    <w:rsid w:val="00843972"/>
    <w:rsid w:val="00854F23"/>
    <w:rsid w:val="008800A9"/>
    <w:rsid w:val="00893CE8"/>
    <w:rsid w:val="008C65CD"/>
    <w:rsid w:val="008E5386"/>
    <w:rsid w:val="00900748"/>
    <w:rsid w:val="00937C98"/>
    <w:rsid w:val="00986CD8"/>
    <w:rsid w:val="009C0DD6"/>
    <w:rsid w:val="009E22D6"/>
    <w:rsid w:val="009F67A2"/>
    <w:rsid w:val="00A209BA"/>
    <w:rsid w:val="00A619A3"/>
    <w:rsid w:val="00AB37EB"/>
    <w:rsid w:val="00AB4882"/>
    <w:rsid w:val="00AD608A"/>
    <w:rsid w:val="00AE2767"/>
    <w:rsid w:val="00AE41F6"/>
    <w:rsid w:val="00B10C97"/>
    <w:rsid w:val="00B3099B"/>
    <w:rsid w:val="00B35E8D"/>
    <w:rsid w:val="00B47CC0"/>
    <w:rsid w:val="00B829F8"/>
    <w:rsid w:val="00B85F3D"/>
    <w:rsid w:val="00BB52CA"/>
    <w:rsid w:val="00C73DB6"/>
    <w:rsid w:val="00C7422B"/>
    <w:rsid w:val="00C82178"/>
    <w:rsid w:val="00D355EB"/>
    <w:rsid w:val="00D35C01"/>
    <w:rsid w:val="00DF5A8E"/>
    <w:rsid w:val="00E05D39"/>
    <w:rsid w:val="00E25351"/>
    <w:rsid w:val="00E31DB0"/>
    <w:rsid w:val="00E57E57"/>
    <w:rsid w:val="00E8401E"/>
    <w:rsid w:val="00E87A06"/>
    <w:rsid w:val="00ED31F6"/>
    <w:rsid w:val="00ED4F47"/>
    <w:rsid w:val="00EF7157"/>
    <w:rsid w:val="00F16086"/>
    <w:rsid w:val="00F424C4"/>
    <w:rsid w:val="00F612AB"/>
    <w:rsid w:val="00FB6D7D"/>
    <w:rsid w:val="00FD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717993-3680-4FC7-B2C9-B19B8227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9F8"/>
    <w:pPr>
      <w:ind w:leftChars="200" w:left="480"/>
    </w:pPr>
  </w:style>
  <w:style w:type="character" w:styleId="a4">
    <w:name w:val="Hyperlink"/>
    <w:basedOn w:val="a0"/>
    <w:uiPriority w:val="99"/>
    <w:unhideWhenUsed/>
    <w:rsid w:val="00B829F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D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05D3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87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87A0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87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87A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7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296</Words>
  <Characters>1690</Characters>
  <Application>Microsoft Office Word</Application>
  <DocSecurity>0</DocSecurity>
  <Lines>14</Lines>
  <Paragraphs>3</Paragraphs>
  <ScaleCrop>false</ScaleCrop>
  <Company>CDC</Company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呂宛蓁</dc:creator>
  <cp:keywords/>
  <dc:description/>
  <cp:lastModifiedBy>謝侑瑾</cp:lastModifiedBy>
  <cp:revision>24</cp:revision>
  <cp:lastPrinted>2014-07-02T03:48:00Z</cp:lastPrinted>
  <dcterms:created xsi:type="dcterms:W3CDTF">2015-09-15T09:06:00Z</dcterms:created>
  <dcterms:modified xsi:type="dcterms:W3CDTF">2016-02-15T01:51:00Z</dcterms:modified>
</cp:coreProperties>
</file>