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theme/themeOverride4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CD" w:rsidRDefault="00A247CD" w:rsidP="00A247CD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101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6</w:t>
      </w:r>
      <w:r>
        <w:rPr>
          <w:rFonts w:eastAsia="標楷體" w:hAnsi="標楷體" w:hint="eastAsia"/>
          <w:spacing w:val="12"/>
          <w:sz w:val="28"/>
          <w:szCs w:val="28"/>
        </w:rPr>
        <w:t>月疾病管制局檢測感受性</w:t>
      </w:r>
      <w:r>
        <w:rPr>
          <w:rFonts w:eastAsia="標楷體" w:hAnsi="標楷體"/>
          <w:spacing w:val="12"/>
          <w:sz w:val="28"/>
          <w:szCs w:val="28"/>
        </w:rPr>
        <w:t>品系埃及斑蚊藥效試驗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503"/>
        <w:gridCol w:w="2268"/>
        <w:gridCol w:w="2976"/>
        <w:gridCol w:w="426"/>
        <w:gridCol w:w="2268"/>
        <w:gridCol w:w="1984"/>
      </w:tblGrid>
      <w:tr w:rsidR="00A247CD" w:rsidTr="00697549">
        <w:tc>
          <w:tcPr>
            <w:tcW w:w="4503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Tr="00697549">
        <w:tc>
          <w:tcPr>
            <w:tcW w:w="4503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Tr="00697549">
        <w:tc>
          <w:tcPr>
            <w:tcW w:w="4503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 xml:space="preserve">6 </w:t>
            </w:r>
            <w:r>
              <w:rPr>
                <w:rFonts w:ascii="標楷體" w:eastAsia="標楷體" w:hAnsi="標楷體"/>
              </w:rPr>
              <w:t>ml</w:t>
            </w:r>
            <w:r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A247CD" w:rsidTr="00697549">
        <w:tc>
          <w:tcPr>
            <w:tcW w:w="4503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登熱治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r w:rsidRPr="008E22B6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8E22B6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6.0%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  <w:r>
              <w:rPr>
                <w:rFonts w:ascii="標楷體" w:eastAsia="標楷體" w:hAnsi="標楷體" w:hint="eastAsia"/>
                <w:u w:val="single"/>
              </w:rPr>
              <w:t>；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Prallethrin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1.5% w/w</w:t>
            </w:r>
            <w:r w:rsidRPr="00DB3B53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</w:tr>
      <w:tr w:rsidR="00A247CD" w:rsidTr="00697549">
        <w:tc>
          <w:tcPr>
            <w:tcW w:w="4503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200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Default="00A247CD" w:rsidP="00697549">
            <w:pPr>
              <w:rPr>
                <w:rFonts w:ascii="標楷體" w:eastAsia="標楷體" w:hAnsi="標楷體"/>
              </w:rPr>
            </w:pPr>
          </w:p>
        </w:tc>
      </w:tr>
    </w:tbl>
    <w:p w:rsidR="00A247CD" w:rsidRDefault="00A247CD" w:rsidP="00A247CD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093"/>
        <w:gridCol w:w="2980"/>
        <w:gridCol w:w="2980"/>
        <w:gridCol w:w="2980"/>
        <w:gridCol w:w="1833"/>
        <w:gridCol w:w="1148"/>
      </w:tblGrid>
      <w:tr w:rsidR="00A247CD" w:rsidTr="00697549"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A247CD" w:rsidRDefault="00A247CD" w:rsidP="00697549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Default="00A247CD" w:rsidP="0069754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Default="00A247CD" w:rsidP="0069754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Default="00A247CD" w:rsidP="0069754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247CD" w:rsidRDefault="00A247CD" w:rsidP="0069754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A247CD" w:rsidTr="00697549">
        <w:trPr>
          <w:cantSplit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A247CD" w:rsidRPr="00FF3F57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FF3F57">
              <w:rPr>
                <w:rFonts w:ascii="標楷體" w:eastAsia="標楷體" w:hAnsi="標楷體" w:hint="eastAsia"/>
              </w:rPr>
              <w:t>登熱治</w:t>
            </w:r>
            <w:proofErr w:type="gramEnd"/>
            <w:r w:rsidRPr="00FF3F57">
              <w:rPr>
                <w:rFonts w:ascii="標楷體" w:eastAsia="標楷體" w:hAnsi="標楷體" w:hint="eastAsia"/>
              </w:rPr>
              <w:t>乳劑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0.0</w:t>
            </w: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15.0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25.0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6.3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42.5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  <w:trHeight w:val="95"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8.8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52.5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31.3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80.0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35.0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90.0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vMerge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8.0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55.0</w:t>
            </w:r>
          </w:p>
        </w:tc>
        <w:tc>
          <w:tcPr>
            <w:tcW w:w="1833" w:type="dxa"/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97.5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Tr="00697549">
        <w:trPr>
          <w:cantSplit/>
        </w:trPr>
        <w:tc>
          <w:tcPr>
            <w:tcW w:w="2093" w:type="dxa"/>
            <w:tcBorders>
              <w:bottom w:val="single" w:sz="4" w:space="0" w:color="auto"/>
            </w:tcBorders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2033DB">
              <w:rPr>
                <w:color w:val="000000"/>
              </w:rPr>
              <w:t>98.8</w:t>
            </w: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2033DB">
              <w:rPr>
                <w:color w:val="000000"/>
              </w:rPr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A247CD" w:rsidRPr="002033DB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A247CD" w:rsidRDefault="00A247CD" w:rsidP="00A247CD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A247CD" w:rsidRPr="00ED3849" w:rsidRDefault="00A247CD" w:rsidP="00B54555">
      <w:pPr>
        <w:pStyle w:val="a3"/>
        <w:adjustRightInd w:val="0"/>
        <w:snapToGrid w:val="0"/>
        <w:spacing w:beforeLines="50" w:line="0" w:lineRule="atLeast"/>
        <w:ind w:leftChars="0" w:left="357"/>
        <w:rPr>
          <w:rFonts w:ascii="Times New Roman" w:eastAsia="標楷體" w:hAnsi="標楷體"/>
        </w:rPr>
      </w:pPr>
      <w:r w:rsidRPr="00ED3849">
        <w:rPr>
          <w:rFonts w:ascii="Times New Roman" w:eastAsia="標楷體" w:hAnsi="Times New Roman" w:hint="eastAsia"/>
          <w:szCs w:val="24"/>
        </w:rPr>
        <w:t>KC</w:t>
      </w:r>
      <w:r w:rsidRPr="00ED3849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ED3849">
        <w:rPr>
          <w:rFonts w:ascii="Times New Roman" w:eastAsia="標楷體" w:hAnsi="Times New Roman" w:hint="eastAsia"/>
          <w:szCs w:val="24"/>
        </w:rPr>
        <w:t>(</w:t>
      </w:r>
      <w:r w:rsidRPr="00ED3849">
        <w:rPr>
          <w:rFonts w:ascii="Times New Roman" w:eastAsia="標楷體" w:hAnsi="Times New Roman" w:hint="eastAsia"/>
          <w:szCs w:val="24"/>
        </w:rPr>
        <w:t>半數擊昏濃度</w:t>
      </w:r>
      <w:r w:rsidRPr="00ED3849">
        <w:rPr>
          <w:rFonts w:ascii="Times New Roman" w:eastAsia="標楷體" w:hAnsi="Times New Roman" w:hint="eastAsia"/>
          <w:szCs w:val="24"/>
        </w:rPr>
        <w:t>)=</w:t>
      </w:r>
      <w:r>
        <w:rPr>
          <w:rFonts w:ascii="Times New Roman" w:eastAsia="標楷體" w:hAnsi="Times New Roman" w:hint="eastAsia"/>
        </w:rPr>
        <w:t>4.7</w:t>
      </w:r>
      <w:r w:rsidRPr="00ED3849">
        <w:rPr>
          <w:rFonts w:ascii="Times New Roman" w:eastAsia="標楷體" w:hAnsi="Times New Roman"/>
        </w:rPr>
        <w:t>×10</w:t>
      </w:r>
      <w:r w:rsidRPr="00ED3849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4</w:t>
      </w:r>
      <w:r w:rsidRPr="00ED3849">
        <w:rPr>
          <w:rFonts w:ascii="Times New Roman" w:eastAsia="標楷體" w:hAnsi="Times New Roman"/>
        </w:rPr>
        <w:t>(v/v%)</w:t>
      </w:r>
      <w:proofErr w:type="gramStart"/>
      <w:r w:rsidRPr="00ED3849">
        <w:rPr>
          <w:rFonts w:ascii="Times New Roman" w:eastAsia="標楷體" w:hAnsi="Times New Roman" w:hint="eastAsia"/>
        </w:rPr>
        <w:t>≒</w:t>
      </w:r>
      <w:proofErr w:type="gramEnd"/>
      <w:r w:rsidRPr="00ED3849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2143.9</w:t>
      </w:r>
      <w:r>
        <w:rPr>
          <w:rFonts w:ascii="Times New Roman" w:eastAsia="標楷體" w:hAnsi="標楷體"/>
        </w:rPr>
        <w:t>倍</w:t>
      </w:r>
    </w:p>
    <w:p w:rsidR="00A247CD" w:rsidRPr="00ED3849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/>
          <w:vertAlign w:val="subscript"/>
        </w:rPr>
        <w:t>50</w:t>
      </w:r>
      <w:r w:rsidRPr="00ED3849">
        <w:rPr>
          <w:rFonts w:ascii="Times New Roman" w:eastAsia="標楷體" w:hAnsi="Times New Roman" w:hint="eastAsia"/>
          <w:szCs w:val="24"/>
        </w:rPr>
        <w:t>(</w:t>
      </w:r>
      <w:r w:rsidRPr="00ED3849">
        <w:rPr>
          <w:rFonts w:ascii="Times New Roman" w:eastAsia="標楷體" w:hAnsi="Times New Roman" w:hint="eastAsia"/>
          <w:szCs w:val="24"/>
        </w:rPr>
        <w:t>半數致死濃度</w:t>
      </w:r>
      <w:r w:rsidRPr="00ED3849">
        <w:rPr>
          <w:rFonts w:ascii="Times New Roman" w:eastAsia="標楷體" w:hAnsi="Times New Roman" w:hint="eastAsia"/>
          <w:szCs w:val="24"/>
        </w:rPr>
        <w:t>)</w:t>
      </w:r>
      <w:r w:rsidRPr="00ED3849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Times New Roman" w:hint="eastAsia"/>
        </w:rPr>
        <w:t>5.8</w:t>
      </w:r>
      <w:r w:rsidRPr="00ED3849">
        <w:rPr>
          <w:rFonts w:ascii="Times New Roman" w:eastAsia="標楷體" w:hAnsi="Times New Roman"/>
        </w:rPr>
        <w:t>×10</w:t>
      </w:r>
      <w:r w:rsidRPr="00ED3849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5</w:t>
      </w:r>
      <w:r w:rsidRPr="00ED3849">
        <w:rPr>
          <w:rFonts w:ascii="Times New Roman" w:eastAsia="標楷體" w:hAnsi="Times New Roman"/>
        </w:rPr>
        <w:t>(v/v%)</w:t>
      </w:r>
      <w:proofErr w:type="gramStart"/>
      <w:r w:rsidRPr="00ED3849">
        <w:rPr>
          <w:rFonts w:ascii="Times New Roman" w:eastAsia="標楷體" w:hAnsi="Times New Roman" w:hint="eastAsia"/>
        </w:rPr>
        <w:t>≒</w:t>
      </w:r>
      <w:proofErr w:type="gramEnd"/>
      <w:r w:rsidRPr="00ED3849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17185.7</w:t>
      </w:r>
      <w:r w:rsidRPr="00ED3849">
        <w:rPr>
          <w:rFonts w:ascii="Times New Roman" w:eastAsia="標楷體" w:hAnsi="標楷體"/>
        </w:rPr>
        <w:t>倍</w:t>
      </w:r>
    </w:p>
    <w:p w:rsidR="00A247CD" w:rsidRPr="00ED3849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Times New Roman"/>
          <w:szCs w:val="24"/>
        </w:rPr>
        <w:t>LC</w:t>
      </w:r>
      <w:r w:rsidRPr="00ED3849">
        <w:rPr>
          <w:rFonts w:ascii="Times New Roman" w:eastAsia="標楷體" w:hAnsi="Times New Roman"/>
          <w:szCs w:val="24"/>
          <w:vertAlign w:val="subscript"/>
        </w:rPr>
        <w:t>99</w:t>
      </w:r>
      <w:r w:rsidRPr="00ED3849">
        <w:rPr>
          <w:rFonts w:ascii="Times New Roman" w:eastAsia="標楷體" w:hAnsi="Times New Roman" w:hint="eastAsia"/>
          <w:szCs w:val="24"/>
        </w:rPr>
        <w:t>(</w:t>
      </w:r>
      <w:r w:rsidRPr="00ED3849">
        <w:rPr>
          <w:rFonts w:ascii="Times New Roman" w:eastAsia="標楷體" w:hAnsi="Times New Roman" w:hint="eastAsia"/>
          <w:szCs w:val="24"/>
        </w:rPr>
        <w:t>致死率達</w:t>
      </w:r>
      <w:r w:rsidRPr="00ED3849">
        <w:rPr>
          <w:rFonts w:ascii="Times New Roman" w:eastAsia="標楷體" w:hAnsi="Times New Roman" w:hint="eastAsia"/>
          <w:szCs w:val="24"/>
        </w:rPr>
        <w:t>99%</w:t>
      </w:r>
      <w:r w:rsidRPr="00ED3849">
        <w:rPr>
          <w:rFonts w:ascii="Times New Roman" w:eastAsia="標楷體" w:hAnsi="Times New Roman" w:hint="eastAsia"/>
          <w:szCs w:val="24"/>
        </w:rPr>
        <w:t>的濃度</w:t>
      </w:r>
      <w:r w:rsidRPr="00ED3849">
        <w:rPr>
          <w:rFonts w:ascii="Times New Roman" w:eastAsia="標楷體" w:hAnsi="Times New Roman" w:hint="eastAsia"/>
          <w:szCs w:val="24"/>
        </w:rPr>
        <w:t>)</w:t>
      </w:r>
      <w:r w:rsidRPr="00ED3849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2.0</w:t>
      </w:r>
      <w:r w:rsidRPr="00ED3849">
        <w:rPr>
          <w:rFonts w:ascii="Times New Roman" w:eastAsia="標楷體" w:hAnsi="Times New Roman"/>
        </w:rPr>
        <w:t>×10</w:t>
      </w:r>
      <w:r w:rsidRPr="00ED3849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ED3849">
        <w:rPr>
          <w:rFonts w:ascii="Times New Roman" w:eastAsia="標楷體" w:hAnsi="Times New Roman"/>
        </w:rPr>
        <w:t>(v/v%)</w:t>
      </w:r>
      <w:proofErr w:type="gramStart"/>
      <w:r w:rsidRPr="00ED3849">
        <w:rPr>
          <w:rFonts w:ascii="Times New Roman" w:eastAsia="標楷體" w:hAnsi="Times New Roman" w:hint="eastAsia"/>
        </w:rPr>
        <w:t>≒</w:t>
      </w:r>
      <w:proofErr w:type="gramEnd"/>
      <w:r w:rsidRPr="00ED3849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502.4</w:t>
      </w:r>
      <w:r>
        <w:rPr>
          <w:rFonts w:ascii="Times New Roman" w:eastAsia="標楷體" w:hAnsi="標楷體"/>
        </w:rPr>
        <w:t>倍</w:t>
      </w:r>
    </w:p>
    <w:p w:rsidR="00A247CD" w:rsidRPr="00ED3849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診斷濃度</w:t>
      </w:r>
      <w:r w:rsidRPr="00ED3849">
        <w:rPr>
          <w:rFonts w:ascii="Times New Roman" w:eastAsia="標楷體" w:hAnsi="標楷體" w:hint="eastAsia"/>
        </w:rPr>
        <w:t>(</w:t>
      </w:r>
      <w:r w:rsidRPr="00ED3849">
        <w:rPr>
          <w:rFonts w:ascii="Times New Roman" w:eastAsia="標楷體" w:hAnsi="Times New Roman"/>
          <w:szCs w:val="24"/>
        </w:rPr>
        <w:t>LC</w:t>
      </w:r>
      <w:r w:rsidRPr="00ED3849">
        <w:rPr>
          <w:rFonts w:ascii="Times New Roman" w:eastAsia="標楷體" w:hAnsi="Times New Roman"/>
          <w:szCs w:val="24"/>
          <w:vertAlign w:val="subscript"/>
        </w:rPr>
        <w:t>99</w:t>
      </w:r>
      <w:r w:rsidRPr="00ED3849">
        <w:rPr>
          <w:rFonts w:ascii="Times New Roman" w:eastAsia="標楷體" w:hAnsi="Times New Roman" w:hint="eastAsia"/>
        </w:rPr>
        <w:t>的兩倍</w:t>
      </w:r>
      <w:r w:rsidRPr="00ED3849">
        <w:rPr>
          <w:rFonts w:ascii="Times New Roman" w:eastAsia="標楷體" w:hAnsi="標楷體" w:hint="eastAsia"/>
        </w:rPr>
        <w:t>，建議田間使用的濃度</w:t>
      </w:r>
      <w:r w:rsidRPr="00ED3849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Times New Roman" w:hint="eastAsia"/>
        </w:rPr>
        <w:t>4</w:t>
      </w:r>
      <w:r w:rsidRPr="00ED3849">
        <w:rPr>
          <w:rFonts w:ascii="Times New Roman" w:eastAsia="標楷體" w:hAnsi="Times New Roman" w:hint="eastAsia"/>
        </w:rPr>
        <w:t>.0</w:t>
      </w:r>
      <w:r w:rsidRPr="00ED3849">
        <w:rPr>
          <w:rFonts w:ascii="Times New Roman" w:eastAsia="標楷體" w:hAnsi="Times New Roman"/>
        </w:rPr>
        <w:t>×10</w:t>
      </w:r>
      <w:r w:rsidRPr="00ED3849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ED3849">
        <w:rPr>
          <w:rFonts w:ascii="Times New Roman" w:eastAsia="標楷體" w:hAnsi="Times New Roman"/>
        </w:rPr>
        <w:t>(v/v%)</w:t>
      </w:r>
      <w:proofErr w:type="gramStart"/>
      <w:r w:rsidRPr="00ED3849">
        <w:rPr>
          <w:rFonts w:ascii="Times New Roman" w:eastAsia="標楷體" w:hAnsi="Times New Roman" w:hint="eastAsia"/>
        </w:rPr>
        <w:t>≒</w:t>
      </w:r>
      <w:proofErr w:type="gramEnd"/>
      <w:r w:rsidRPr="00ED3849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251.2</w:t>
      </w:r>
      <w:r>
        <w:rPr>
          <w:rFonts w:ascii="Times New Roman" w:eastAsia="標楷體" w:hAnsi="標楷體"/>
        </w:rPr>
        <w:t>倍</w:t>
      </w:r>
    </w:p>
    <w:p w:rsidR="00A247CD" w:rsidRDefault="00A247CD" w:rsidP="00A247CD">
      <w:pPr>
        <w:rPr>
          <w:rFonts w:ascii="標楷體" w:eastAsia="標楷體" w:hAnsi="標楷體"/>
          <w:b/>
          <w:sz w:val="28"/>
          <w:szCs w:val="28"/>
        </w:rPr>
        <w:sectPr w:rsidR="00A247CD" w:rsidSect="00663A44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eastAsia="標楷體" w:hint="eastAsia"/>
          <w:b/>
          <w:sz w:val="28"/>
          <w:szCs w:val="28"/>
        </w:rPr>
        <w:t>登熱治</w:t>
      </w:r>
      <w:proofErr w:type="gramEnd"/>
      <w:r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057265" cy="359981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265" cy="359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066790" cy="318071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318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A247CD" w:rsidRDefault="00A247CD" w:rsidP="00A247CD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A247CD" w:rsidRDefault="00A247CD" w:rsidP="00A247CD">
      <w:pPr>
        <w:rPr>
          <w:rFonts w:ascii="標楷體" w:eastAsia="標楷體" w:hAnsi="標楷體"/>
          <w:b/>
          <w:spacing w:val="12"/>
          <w:sz w:val="28"/>
          <w:szCs w:val="28"/>
        </w:rPr>
        <w:sectPr w:rsidR="00A247CD" w:rsidSect="006D5FEC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A247CD" w:rsidRPr="001F0395" w:rsidRDefault="00A247CD" w:rsidP="00A247CD">
      <w:pPr>
        <w:jc w:val="center"/>
        <w:rPr>
          <w:rFonts w:eastAsia="標楷體"/>
          <w:sz w:val="28"/>
          <w:szCs w:val="28"/>
        </w:rPr>
      </w:pPr>
      <w:bookmarkStart w:id="0" w:name="_GoBack"/>
      <w:bookmarkEnd w:id="0"/>
      <w:r w:rsidRPr="001F0395">
        <w:rPr>
          <w:rFonts w:eastAsia="標楷體" w:hAnsi="標楷體" w:hint="eastAsia"/>
          <w:spacing w:val="12"/>
          <w:sz w:val="28"/>
          <w:szCs w:val="28"/>
        </w:rPr>
        <w:lastRenderedPageBreak/>
        <w:t>101</w:t>
      </w:r>
      <w:r w:rsidRPr="001F0395">
        <w:rPr>
          <w:rFonts w:eastAsia="標楷體" w:hAnsi="標楷體" w:hint="eastAsia"/>
          <w:spacing w:val="12"/>
          <w:sz w:val="28"/>
          <w:szCs w:val="28"/>
        </w:rPr>
        <w:t>年</w:t>
      </w:r>
      <w:r w:rsidRPr="001F0395">
        <w:rPr>
          <w:rFonts w:eastAsia="標楷體" w:hAnsi="標楷體" w:hint="eastAsia"/>
          <w:spacing w:val="12"/>
          <w:sz w:val="28"/>
          <w:szCs w:val="28"/>
        </w:rPr>
        <w:t>8</w:t>
      </w:r>
      <w:r w:rsidRPr="001F0395">
        <w:rPr>
          <w:rFonts w:eastAsia="標楷體" w:hAnsi="標楷體" w:hint="eastAsia"/>
          <w:spacing w:val="12"/>
          <w:sz w:val="28"/>
          <w:szCs w:val="28"/>
        </w:rPr>
        <w:t>月疾病管制局檢測感受性</w:t>
      </w:r>
      <w:r w:rsidRPr="001F0395">
        <w:rPr>
          <w:rFonts w:eastAsia="標楷體" w:hAnsi="標楷體"/>
          <w:spacing w:val="12"/>
          <w:sz w:val="28"/>
          <w:szCs w:val="28"/>
        </w:rPr>
        <w:t>品系埃及斑蚊藥效試驗</w:t>
      </w:r>
      <w:r w:rsidRPr="001F0395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503"/>
        <w:gridCol w:w="2268"/>
        <w:gridCol w:w="2976"/>
        <w:gridCol w:w="426"/>
        <w:gridCol w:w="2268"/>
        <w:gridCol w:w="1984"/>
      </w:tblGrid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試驗人員：夏維泰、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試驗蚊蟲：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感受性</w:t>
            </w:r>
            <w:r w:rsidRPr="001F0395">
              <w:rPr>
                <w:rFonts w:ascii="標楷體" w:eastAsia="標楷體" w:hAnsi="標楷體"/>
              </w:rPr>
              <w:t>品系，未吸</w:t>
            </w:r>
            <w:proofErr w:type="gramStart"/>
            <w:r w:rsidRPr="001F0395">
              <w:rPr>
                <w:rFonts w:ascii="標楷體" w:eastAsia="標楷體" w:hAnsi="標楷體"/>
              </w:rPr>
              <w:t>血雌蚊(</w:t>
            </w:r>
            <w:proofErr w:type="gramEnd"/>
            <w:r w:rsidRPr="001F0395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</w:t>
            </w:r>
            <w:r w:rsidRPr="001F0395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濕度：65±10</w:t>
            </w:r>
            <w:r w:rsidRPr="001F0395">
              <w:rPr>
                <w:rFonts w:ascii="標楷體" w:eastAsia="標楷體" w:hAnsi="標楷體" w:hint="eastAsia"/>
              </w:rPr>
              <w:t>%</w:t>
            </w:r>
            <w:r w:rsidRPr="001F0395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流量：</w:t>
            </w:r>
            <w:r w:rsidRPr="001F0395">
              <w:rPr>
                <w:rFonts w:ascii="標楷體" w:eastAsia="標楷體" w:hAnsi="標楷體" w:hint="eastAsia"/>
              </w:rPr>
              <w:t>46.2</w:t>
            </w:r>
            <w:r w:rsidRPr="001F0395">
              <w:rPr>
                <w:rFonts w:ascii="標楷體" w:eastAsia="標楷體" w:hAnsi="標楷體"/>
              </w:rPr>
              <w:t>±0.</w:t>
            </w:r>
            <w:r w:rsidRPr="001F0395">
              <w:rPr>
                <w:rFonts w:ascii="標楷體" w:eastAsia="標楷體" w:hAnsi="標楷體" w:hint="eastAsia"/>
              </w:rPr>
              <w:t xml:space="preserve">6 </w:t>
            </w:r>
            <w:r w:rsidRPr="001F0395">
              <w:rPr>
                <w:rFonts w:ascii="標楷體" w:eastAsia="標楷體" w:hAnsi="標楷體"/>
              </w:rPr>
              <w:t>ml</w:t>
            </w:r>
            <w:r w:rsidRPr="001F0395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proofErr w:type="gramStart"/>
            <w:r w:rsidRPr="001F0395">
              <w:rPr>
                <w:rFonts w:ascii="標楷體" w:eastAsia="標楷體" w:hAnsi="標楷體"/>
              </w:rPr>
              <w:t>施噴時間</w:t>
            </w:r>
            <w:proofErr w:type="gramEnd"/>
            <w:r w:rsidRPr="001F0395">
              <w:rPr>
                <w:rFonts w:ascii="標楷體" w:eastAsia="標楷體" w:hAnsi="標楷體"/>
              </w:rPr>
              <w:t>：2</w:t>
            </w:r>
            <w:r w:rsidRPr="001F0395">
              <w:rPr>
                <w:rFonts w:ascii="標楷體" w:eastAsia="標楷體" w:hAnsi="標楷體" w:hint="eastAsia"/>
              </w:rPr>
              <w:t>7</w:t>
            </w:r>
            <w:r w:rsidRPr="001F0395">
              <w:rPr>
                <w:rFonts w:ascii="標楷體" w:eastAsia="標楷體" w:hAnsi="標楷體"/>
              </w:rPr>
              <w:t>秒</w:t>
            </w: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 w:rsidRPr="001F0395">
              <w:rPr>
                <w:rFonts w:ascii="標楷體" w:eastAsia="標楷體" w:hAnsi="標楷體" w:hint="eastAsia"/>
                <w:u w:val="single"/>
              </w:rPr>
              <w:t>優克10.6%w/w水基乳劑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水基</w:t>
            </w:r>
            <w:r w:rsidRPr="001F0395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 w:rsidRPr="001F0395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Pr="001F0395">
              <w:rPr>
                <w:rFonts w:ascii="標楷體" w:eastAsia="標楷體" w:hAnsi="標楷體" w:hint="eastAsia"/>
                <w:u w:val="single"/>
              </w:rPr>
              <w:t xml:space="preserve"> 10.6% w/w </w:t>
            </w: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 w:rsidRPr="001F0395">
              <w:rPr>
                <w:rFonts w:ascii="標楷體" w:eastAsia="標楷體" w:hAnsi="標楷體" w:hint="eastAsia"/>
                <w:u w:val="single"/>
              </w:rPr>
              <w:t>300~500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</w:tbl>
    <w:p w:rsidR="00A247CD" w:rsidRPr="001F0395" w:rsidRDefault="00A247CD" w:rsidP="00A247CD">
      <w:pPr>
        <w:jc w:val="right"/>
        <w:rPr>
          <w:rFonts w:ascii="標楷體" w:eastAsia="標楷體" w:hAnsi="標楷體"/>
        </w:rPr>
      </w:pPr>
      <w:r w:rsidRPr="001F0395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F0395">
        <w:rPr>
          <w:rFonts w:ascii="標楷體" w:eastAsia="標楷體" w:hAnsi="標楷體" w:hint="eastAsia"/>
        </w:rPr>
        <w:t>研</w:t>
      </w:r>
      <w:proofErr w:type="gramEnd"/>
      <w:r w:rsidRPr="001F0395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802"/>
        <w:gridCol w:w="2271"/>
        <w:gridCol w:w="2980"/>
        <w:gridCol w:w="1691"/>
        <w:gridCol w:w="1289"/>
        <w:gridCol w:w="1833"/>
        <w:gridCol w:w="1148"/>
      </w:tblGrid>
      <w:tr w:rsidR="00A247CD" w:rsidRPr="001F0395" w:rsidTr="00697549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proofErr w:type="gramStart"/>
            <w:r w:rsidRPr="001F0395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稀釋倍數</w:t>
            </w:r>
            <w:r w:rsidRPr="001F0395">
              <w:rPr>
                <w:rFonts w:eastAsia="標楷體" w:hint="eastAsia"/>
              </w:rPr>
              <w:t>(</w:t>
            </w:r>
            <w:r w:rsidRPr="001F0395">
              <w:rPr>
                <w:rFonts w:eastAsia="標楷體" w:hint="eastAsia"/>
              </w:rPr>
              <w:t>×</w:t>
            </w:r>
            <w:r w:rsidRPr="001F0395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濃度</w:t>
            </w:r>
            <w:r w:rsidRPr="001F0395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30</w:t>
            </w:r>
            <w:r w:rsidRPr="001F0395">
              <w:rPr>
                <w:rFonts w:eastAsia="標楷體" w:hint="eastAsia"/>
              </w:rPr>
              <w:t>分鐘</w:t>
            </w:r>
            <w:proofErr w:type="gramStart"/>
            <w:r w:rsidRPr="001F0395">
              <w:rPr>
                <w:rFonts w:eastAsia="標楷體" w:hint="eastAsia"/>
              </w:rPr>
              <w:t>擊昏率</w:t>
            </w:r>
            <w:proofErr w:type="gramEnd"/>
            <w:r w:rsidRPr="001F0395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24</w:t>
            </w:r>
            <w:r w:rsidRPr="001F0395">
              <w:rPr>
                <w:rFonts w:eastAsia="標楷體" w:hint="eastAsia"/>
              </w:rPr>
              <w:t>小時死亡率</w:t>
            </w:r>
            <w:r w:rsidRPr="001F0395">
              <w:rPr>
                <w:rFonts w:eastAsia="標楷體" w:hint="eastAsia"/>
              </w:rPr>
              <w:t>(%)</w:t>
            </w:r>
          </w:p>
        </w:tc>
      </w:tr>
      <w:tr w:rsidR="00A247CD" w:rsidRPr="001F0395" w:rsidTr="00697549">
        <w:trPr>
          <w:cantSplit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1F0395">
              <w:rPr>
                <w:rFonts w:ascii="標楷體" w:eastAsia="標楷體" w:hAnsi="標楷體" w:hint="eastAsia"/>
              </w:rPr>
              <w:t>優克10.6%w/w水基乳劑</w:t>
            </w:r>
          </w:p>
        </w:tc>
        <w:tc>
          <w:tcPr>
            <w:tcW w:w="2271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200000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5.0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-6</w:t>
            </w:r>
          </w:p>
        </w:tc>
        <w:tc>
          <w:tcPr>
            <w:tcW w:w="1691" w:type="dxa"/>
            <w:tcBorders>
              <w:top w:val="single" w:sz="12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1F0395">
              <w:rPr>
                <w:rFonts w:hint="eastAsia"/>
                <w:color w:val="000000"/>
              </w:rPr>
              <w:t>0.0</w:t>
            </w:r>
          </w:p>
        </w:tc>
        <w:tc>
          <w:tcPr>
            <w:tcW w:w="1289" w:type="dxa"/>
            <w:tcBorders>
              <w:top w:val="single" w:sz="12" w:space="0" w:color="auto"/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1833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jc w:val="right"/>
            </w:pPr>
            <w:r w:rsidRPr="001F0395">
              <w:t>8.8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50000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1691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5.0</w:t>
            </w:r>
          </w:p>
        </w:tc>
        <w:tc>
          <w:tcPr>
            <w:tcW w:w="1289" w:type="dxa"/>
            <w:tcBorders>
              <w:left w:val="nil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35.0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25000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Ansi="標楷體" w:hint="eastAsia"/>
              </w:rPr>
              <w:t>4.0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11.3</w:t>
            </w:r>
          </w:p>
        </w:tc>
        <w:tc>
          <w:tcPr>
            <w:tcW w:w="1289" w:type="dxa"/>
            <w:tcBorders>
              <w:left w:val="nil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48.8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95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17500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5.7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91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25.0</w:t>
            </w:r>
          </w:p>
        </w:tc>
        <w:tc>
          <w:tcPr>
            <w:tcW w:w="1289" w:type="dxa"/>
            <w:tcBorders>
              <w:left w:val="nil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56.3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10000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1.0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91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26.3</w:t>
            </w:r>
          </w:p>
        </w:tc>
        <w:tc>
          <w:tcPr>
            <w:tcW w:w="1289" w:type="dxa"/>
            <w:tcBorders>
              <w:left w:val="nil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70.0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1000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1F0395">
              <w:rPr>
                <w:rFonts w:eastAsia="標楷體" w:hAnsi="標楷體" w:hint="eastAsia"/>
              </w:rPr>
              <w:t>1.0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91" w:type="dxa"/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67.5</w:t>
            </w:r>
          </w:p>
        </w:tc>
        <w:tc>
          <w:tcPr>
            <w:tcW w:w="1289" w:type="dxa"/>
            <w:tcBorders>
              <w:left w:val="nil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</w:tcPr>
          <w:p w:rsidR="00A247CD" w:rsidRPr="001F0395" w:rsidRDefault="00A247CD" w:rsidP="00697549">
            <w:pPr>
              <w:jc w:val="right"/>
            </w:pPr>
            <w:r w:rsidRPr="001F0395">
              <w:t>9</w:t>
            </w:r>
            <w:r w:rsidRPr="001F0395">
              <w:rPr>
                <w:rFonts w:hint="eastAsia"/>
              </w:rPr>
              <w:t>5</w:t>
            </w:r>
            <w:r w:rsidRPr="001F0395">
              <w:t>.</w:t>
            </w:r>
            <w:r w:rsidRPr="001F0395">
              <w:rPr>
                <w:rFonts w:hint="eastAsia"/>
              </w:rPr>
              <w:t>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</w:trPr>
        <w:tc>
          <w:tcPr>
            <w:tcW w:w="2802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jc w:val="center"/>
            </w:pPr>
            <w:r w:rsidRPr="001F0395">
              <w:rPr>
                <w:rFonts w:hint="eastAsia"/>
              </w:rPr>
              <w:t>400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1F0395">
              <w:rPr>
                <w:rFonts w:eastAsia="標楷體" w:hAnsi="標楷體" w:hint="eastAsia"/>
              </w:rPr>
              <w:t>2.5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jc w:val="right"/>
            </w:pPr>
            <w:r w:rsidRPr="001F0395">
              <w:rPr>
                <w:rFonts w:hint="eastAsia"/>
              </w:rPr>
              <w:t>86.3</w:t>
            </w:r>
          </w:p>
        </w:tc>
        <w:tc>
          <w:tcPr>
            <w:tcW w:w="1289" w:type="dxa"/>
            <w:tcBorders>
              <w:left w:val="nil"/>
              <w:bottom w:val="single" w:sz="4" w:space="0" w:color="auto"/>
            </w:tcBorders>
          </w:tcPr>
          <w:p w:rsidR="00A247CD" w:rsidRPr="001F0395" w:rsidRDefault="00A247CD" w:rsidP="00697549">
            <w:pPr>
              <w:jc w:val="center"/>
            </w:pPr>
          </w:p>
        </w:tc>
        <w:tc>
          <w:tcPr>
            <w:tcW w:w="1833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jc w:val="right"/>
            </w:pPr>
            <w:r w:rsidRPr="001F0395"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A247CD" w:rsidRPr="001F0395" w:rsidRDefault="00A247CD" w:rsidP="00A247CD">
      <w:pPr>
        <w:rPr>
          <w:rFonts w:eastAsia="標楷體"/>
        </w:rPr>
      </w:pPr>
      <w:r w:rsidRPr="001F0395">
        <w:rPr>
          <w:rFonts w:eastAsia="標楷體" w:hint="eastAsia"/>
        </w:rPr>
        <w:t>結果：</w:t>
      </w:r>
    </w:p>
    <w:p w:rsidR="00A247CD" w:rsidRPr="00553FA8" w:rsidRDefault="00A247CD" w:rsidP="00B54555">
      <w:pPr>
        <w:pStyle w:val="a3"/>
        <w:adjustRightInd w:val="0"/>
        <w:snapToGrid w:val="0"/>
        <w:spacing w:beforeLines="50" w:line="0" w:lineRule="atLeast"/>
        <w:ind w:leftChars="0" w:left="357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 w:hint="eastAsia"/>
          <w:szCs w:val="24"/>
        </w:rPr>
        <w:t>KC</w:t>
      </w:r>
      <w:r w:rsidRPr="00553FA8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半數擊昏濃度</w:t>
      </w:r>
      <w:r w:rsidRPr="00553FA8">
        <w:rPr>
          <w:rFonts w:ascii="Times New Roman" w:eastAsia="標楷體" w:hAnsi="Times New Roman" w:hint="eastAsia"/>
          <w:szCs w:val="24"/>
        </w:rPr>
        <w:t>)=3.4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4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2926.7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553FA8">
        <w:rPr>
          <w:rFonts w:ascii="Times New Roman" w:eastAsia="標楷體" w:hAnsi="Times New Roman"/>
        </w:rPr>
        <w:t>LC</w:t>
      </w:r>
      <w:r w:rsidRPr="00553FA8">
        <w:rPr>
          <w:rFonts w:ascii="Times New Roman" w:eastAsia="標楷體" w:hAnsi="Times New Roman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半數致死濃度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</w:rPr>
        <w:t>=4.3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5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23353.6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致死率達</w:t>
      </w:r>
      <w:r w:rsidRPr="00553FA8">
        <w:rPr>
          <w:rFonts w:ascii="Times New Roman" w:eastAsia="標楷體" w:hAnsi="Times New Roman" w:hint="eastAsia"/>
          <w:szCs w:val="24"/>
        </w:rPr>
        <w:t>99%</w:t>
      </w:r>
      <w:r w:rsidRPr="00553FA8">
        <w:rPr>
          <w:rFonts w:ascii="Times New Roman" w:eastAsia="標楷體" w:hAnsi="Times New Roman" w:hint="eastAsia"/>
          <w:szCs w:val="24"/>
        </w:rPr>
        <w:t>的濃度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  <w:szCs w:val="24"/>
        </w:rPr>
        <w:t>=2.2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452.5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標楷體" w:hint="eastAsia"/>
        </w:rPr>
        <w:t>診斷濃度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</w:rPr>
        <w:t>的兩倍</w:t>
      </w:r>
      <w:r w:rsidRPr="00553FA8">
        <w:rPr>
          <w:rFonts w:ascii="Times New Roman" w:eastAsia="標楷體" w:hAnsi="標楷體" w:hint="eastAsia"/>
        </w:rPr>
        <w:t>，建議田間使用的濃度</w:t>
      </w:r>
      <w:r w:rsidRPr="00553FA8">
        <w:rPr>
          <w:rFonts w:ascii="Times New Roman" w:eastAsia="標楷體" w:hAnsi="標楷體" w:hint="eastAsia"/>
        </w:rPr>
        <w:t>)=4.4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 w:rsidRPr="00553FA8"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 w:rsidRPr="00553FA8">
        <w:rPr>
          <w:rFonts w:ascii="Times New Roman" w:eastAsia="標楷體" w:hAnsi="標楷體" w:hint="eastAsia"/>
        </w:rPr>
        <w:t>226.2</w:t>
      </w:r>
      <w:r w:rsidRPr="00553FA8">
        <w:rPr>
          <w:rFonts w:ascii="Times New Roman" w:eastAsia="標楷體" w:hAnsi="標楷體"/>
        </w:rPr>
        <w:t>倍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標楷體" w:hint="eastAsia"/>
        </w:rPr>
        <w:t>戶內空間噴灑</w:t>
      </w:r>
      <w:r w:rsidRPr="00553FA8">
        <w:rPr>
          <w:rFonts w:ascii="Times New Roman" w:eastAsia="標楷體" w:hAnsi="標楷體" w:hint="eastAsia"/>
        </w:rPr>
        <w:t>)</w:t>
      </w:r>
    </w:p>
    <w:p w:rsidR="00A247CD" w:rsidRPr="004F09C1" w:rsidRDefault="00A247CD" w:rsidP="00A247CD">
      <w:pPr>
        <w:rPr>
          <w:rFonts w:ascii="標楷體" w:eastAsia="標楷體" w:hAnsi="標楷體"/>
          <w:b/>
          <w:sz w:val="28"/>
          <w:szCs w:val="28"/>
          <w:highlight w:val="yellow"/>
        </w:rPr>
        <w:sectPr w:rsidR="00A247CD" w:rsidRPr="004F09C1" w:rsidSect="00663A44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A247CD" w:rsidRPr="00553FA8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553FA8"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蚊對優</w:t>
      </w:r>
      <w:proofErr w:type="gramEnd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克10.6%w/w水基</w:t>
      </w:r>
      <w:r w:rsidRPr="00553FA8">
        <w:rPr>
          <w:rFonts w:eastAsia="標楷體" w:hint="eastAsia"/>
          <w:b/>
          <w:sz w:val="28"/>
          <w:szCs w:val="28"/>
        </w:rPr>
        <w:t>乳劑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A247CD" w:rsidRPr="00553FA8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209665" cy="4093845"/>
            <wp:effectExtent l="0" t="0" r="0" b="0"/>
            <wp:docPr id="1" name="圖表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247CD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  <w:sectPr w:rsidR="00A247CD" w:rsidSect="006D5FEC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b/>
          <w:noProof/>
          <w:spacing w:val="12"/>
          <w:sz w:val="28"/>
          <w:szCs w:val="28"/>
        </w:rPr>
        <w:drawing>
          <wp:inline distT="0" distB="0" distL="0" distR="0">
            <wp:extent cx="6124575" cy="3625850"/>
            <wp:effectExtent l="0" t="0" r="0" b="0"/>
            <wp:docPr id="2" name="圖表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247CD" w:rsidRPr="001F0395" w:rsidRDefault="00A247CD" w:rsidP="00A247CD">
      <w:pPr>
        <w:jc w:val="center"/>
        <w:rPr>
          <w:rFonts w:eastAsia="標楷體"/>
          <w:sz w:val="28"/>
          <w:szCs w:val="28"/>
        </w:rPr>
      </w:pPr>
      <w:r w:rsidRPr="001F0395">
        <w:rPr>
          <w:rFonts w:eastAsia="標楷體" w:hAnsi="標楷體" w:hint="eastAsia"/>
          <w:spacing w:val="12"/>
          <w:sz w:val="28"/>
          <w:szCs w:val="28"/>
        </w:rPr>
        <w:lastRenderedPageBreak/>
        <w:t>101</w:t>
      </w:r>
      <w:r w:rsidRPr="001F0395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9</w:t>
      </w:r>
      <w:r w:rsidRPr="001F0395">
        <w:rPr>
          <w:rFonts w:eastAsia="標楷體" w:hAnsi="標楷體" w:hint="eastAsia"/>
          <w:spacing w:val="12"/>
          <w:sz w:val="28"/>
          <w:szCs w:val="28"/>
        </w:rPr>
        <w:t>月疾病管制局檢測感受性</w:t>
      </w:r>
      <w:r w:rsidRPr="001F0395">
        <w:rPr>
          <w:rFonts w:eastAsia="標楷體" w:hAnsi="標楷體"/>
          <w:spacing w:val="12"/>
          <w:sz w:val="28"/>
          <w:szCs w:val="28"/>
        </w:rPr>
        <w:t>品系埃及斑蚊藥效試驗</w:t>
      </w:r>
      <w:r w:rsidRPr="001F0395"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503"/>
        <w:gridCol w:w="2268"/>
        <w:gridCol w:w="2976"/>
        <w:gridCol w:w="426"/>
        <w:gridCol w:w="2268"/>
        <w:gridCol w:w="1984"/>
      </w:tblGrid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試驗人員：夏維泰、</w:t>
            </w:r>
            <w:r w:rsidRPr="001F039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試驗蚊蟲：</w:t>
            </w:r>
            <w:r w:rsidRPr="001F0395">
              <w:rPr>
                <w:rFonts w:ascii="標楷體" w:eastAsia="標楷體" w:hAnsi="標楷體" w:hint="eastAsia"/>
                <w:u w:val="single"/>
              </w:rPr>
              <w:t>感受性</w:t>
            </w:r>
            <w:r w:rsidRPr="001F0395">
              <w:rPr>
                <w:rFonts w:ascii="標楷體" w:eastAsia="標楷體" w:hAnsi="標楷體"/>
              </w:rPr>
              <w:t>品系，未吸</w:t>
            </w:r>
            <w:proofErr w:type="gramStart"/>
            <w:r w:rsidRPr="001F0395">
              <w:rPr>
                <w:rFonts w:ascii="標楷體" w:eastAsia="標楷體" w:hAnsi="標楷體"/>
              </w:rPr>
              <w:t>血雌蚊(</w:t>
            </w:r>
            <w:proofErr w:type="gramEnd"/>
            <w:r w:rsidRPr="001F0395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試驗</w:t>
            </w:r>
            <w:r w:rsidRPr="001F0395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濕度：65±10</w:t>
            </w:r>
            <w:r w:rsidRPr="001F0395">
              <w:rPr>
                <w:rFonts w:ascii="標楷體" w:eastAsia="標楷體" w:hAnsi="標楷體" w:hint="eastAsia"/>
              </w:rPr>
              <w:t>%</w:t>
            </w:r>
            <w:r w:rsidRPr="001F0395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2976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流量：</w:t>
            </w:r>
            <w:r w:rsidRPr="001F0395">
              <w:rPr>
                <w:rFonts w:ascii="標楷體" w:eastAsia="標楷體" w:hAnsi="標楷體" w:hint="eastAsia"/>
              </w:rPr>
              <w:t>46.2</w:t>
            </w:r>
            <w:r w:rsidRPr="001F0395">
              <w:rPr>
                <w:rFonts w:ascii="標楷體" w:eastAsia="標楷體" w:hAnsi="標楷體"/>
              </w:rPr>
              <w:t>±0.</w:t>
            </w:r>
            <w:r w:rsidRPr="001F0395">
              <w:rPr>
                <w:rFonts w:ascii="標楷體" w:eastAsia="標楷體" w:hAnsi="標楷體" w:hint="eastAsia"/>
              </w:rPr>
              <w:t xml:space="preserve">6 </w:t>
            </w:r>
            <w:r w:rsidRPr="001F0395">
              <w:rPr>
                <w:rFonts w:ascii="標楷體" w:eastAsia="標楷體" w:hAnsi="標楷體"/>
              </w:rPr>
              <w:t>ml</w:t>
            </w:r>
            <w:r w:rsidRPr="001F0395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proofErr w:type="gramStart"/>
            <w:r w:rsidRPr="001F0395">
              <w:rPr>
                <w:rFonts w:ascii="標楷體" w:eastAsia="標楷體" w:hAnsi="標楷體"/>
              </w:rPr>
              <w:t>施噴時間</w:t>
            </w:r>
            <w:proofErr w:type="gramEnd"/>
            <w:r w:rsidRPr="001F0395">
              <w:rPr>
                <w:rFonts w:ascii="標楷體" w:eastAsia="標楷體" w:hAnsi="標楷體"/>
              </w:rPr>
              <w:t>：2</w:t>
            </w:r>
            <w:r w:rsidRPr="001F0395">
              <w:rPr>
                <w:rFonts w:ascii="標楷體" w:eastAsia="標楷體" w:hAnsi="標楷體" w:hint="eastAsia"/>
              </w:rPr>
              <w:t>7</w:t>
            </w:r>
            <w:r w:rsidRPr="001F0395">
              <w:rPr>
                <w:rFonts w:ascii="標楷體" w:eastAsia="標楷體" w:hAnsi="標楷體"/>
              </w:rPr>
              <w:t>秒</w:t>
            </w: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1F0395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1F0395">
              <w:rPr>
                <w:rFonts w:ascii="標楷體" w:eastAsia="標楷體" w:hAnsi="標楷體" w:hint="eastAsia"/>
              </w:rPr>
              <w:t>名稱：</w:t>
            </w:r>
            <w:r>
              <w:rPr>
                <w:rFonts w:ascii="標楷體" w:eastAsia="標楷體" w:hAnsi="標楷體" w:hint="eastAsia"/>
                <w:u w:val="single"/>
              </w:rPr>
              <w:t>快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克利液</w:t>
            </w:r>
            <w:r w:rsidRPr="001F0395">
              <w:rPr>
                <w:rFonts w:ascii="標楷體" w:eastAsia="標楷體" w:hAnsi="標楷體" w:hint="eastAsia"/>
                <w:u w:val="single"/>
              </w:rPr>
              <w:t>劑</w:t>
            </w:r>
            <w:proofErr w:type="gramEnd"/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 w:hint="eastAsia"/>
                <w:u w:val="single"/>
              </w:rPr>
              <w:t>液</w:t>
            </w:r>
            <w:r w:rsidRPr="001F0395">
              <w:rPr>
                <w:rFonts w:ascii="標楷體" w:eastAsia="標楷體" w:hAnsi="標楷體"/>
                <w:u w:val="single"/>
              </w:rPr>
              <w:t>劑</w:t>
            </w:r>
          </w:p>
        </w:tc>
        <w:tc>
          <w:tcPr>
            <w:tcW w:w="7654" w:type="dxa"/>
            <w:gridSpan w:val="4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/>
              </w:rPr>
              <w:t>有效成分：</w:t>
            </w:r>
            <w:proofErr w:type="spellStart"/>
            <w:r>
              <w:rPr>
                <w:rFonts w:ascii="標楷體" w:eastAsia="標楷體" w:hAnsi="標楷體" w:hint="eastAsia"/>
                <w:u w:val="single"/>
              </w:rPr>
              <w:t>Pirimiphos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>-methyl 12.5</w:t>
            </w:r>
            <w:r w:rsidRPr="001F0395">
              <w:rPr>
                <w:rFonts w:ascii="標楷體" w:eastAsia="標楷體" w:hAnsi="標楷體" w:hint="eastAsia"/>
                <w:u w:val="single"/>
              </w:rPr>
              <w:t xml:space="preserve"> % w/w </w:t>
            </w:r>
          </w:p>
        </w:tc>
      </w:tr>
      <w:tr w:rsidR="00A247CD" w:rsidRPr="001F0395" w:rsidTr="00697549">
        <w:tc>
          <w:tcPr>
            <w:tcW w:w="4503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使用劑量：1ml/m</w:t>
            </w:r>
            <w:r w:rsidRPr="001F0395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  <w:r w:rsidRPr="001F0395"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160~400</w:t>
            </w:r>
            <w:r w:rsidRPr="001F0395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A247CD" w:rsidRPr="001F0395" w:rsidRDefault="00A247CD" w:rsidP="00697549">
            <w:pPr>
              <w:rPr>
                <w:rFonts w:ascii="標楷體" w:eastAsia="標楷體" w:hAnsi="標楷體"/>
              </w:rPr>
            </w:pPr>
          </w:p>
        </w:tc>
      </w:tr>
    </w:tbl>
    <w:p w:rsidR="00A247CD" w:rsidRPr="001F0395" w:rsidRDefault="00A247CD" w:rsidP="00A247CD">
      <w:pPr>
        <w:jc w:val="right"/>
        <w:rPr>
          <w:rFonts w:ascii="標楷體" w:eastAsia="標楷體" w:hAnsi="標楷體"/>
        </w:rPr>
      </w:pPr>
      <w:r w:rsidRPr="001F0395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1F0395">
        <w:rPr>
          <w:rFonts w:ascii="標楷體" w:eastAsia="標楷體" w:hAnsi="標楷體" w:hint="eastAsia"/>
        </w:rPr>
        <w:t>研</w:t>
      </w:r>
      <w:proofErr w:type="gramEnd"/>
      <w:r w:rsidRPr="001F0395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802"/>
        <w:gridCol w:w="2271"/>
        <w:gridCol w:w="2980"/>
        <w:gridCol w:w="2980"/>
        <w:gridCol w:w="1833"/>
        <w:gridCol w:w="1148"/>
      </w:tblGrid>
      <w:tr w:rsidR="00A247CD" w:rsidRPr="001F0395" w:rsidTr="00697549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proofErr w:type="gramStart"/>
            <w:r w:rsidRPr="001F0395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稀釋倍數</w:t>
            </w:r>
            <w:r w:rsidRPr="001F0395">
              <w:rPr>
                <w:rFonts w:eastAsia="標楷體" w:hint="eastAsia"/>
              </w:rPr>
              <w:t>(</w:t>
            </w:r>
            <w:r w:rsidRPr="001F0395">
              <w:rPr>
                <w:rFonts w:eastAsia="標楷體" w:hint="eastAsia"/>
              </w:rPr>
              <w:t>×</w:t>
            </w:r>
            <w:r w:rsidRPr="001F0395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濃度</w:t>
            </w:r>
            <w:r w:rsidRPr="001F0395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30</w:t>
            </w:r>
            <w:r w:rsidRPr="001F0395">
              <w:rPr>
                <w:rFonts w:eastAsia="標楷體" w:hint="eastAsia"/>
              </w:rPr>
              <w:t>分鐘</w:t>
            </w:r>
            <w:proofErr w:type="gramStart"/>
            <w:r w:rsidRPr="001F0395">
              <w:rPr>
                <w:rFonts w:eastAsia="標楷體" w:hint="eastAsia"/>
              </w:rPr>
              <w:t>擊昏率</w:t>
            </w:r>
            <w:proofErr w:type="gramEnd"/>
            <w:r w:rsidRPr="001F0395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247CD" w:rsidRPr="001F0395" w:rsidRDefault="00A247CD" w:rsidP="00697549">
            <w:pPr>
              <w:jc w:val="center"/>
              <w:rPr>
                <w:rFonts w:eastAsia="標楷體"/>
              </w:rPr>
            </w:pPr>
            <w:r w:rsidRPr="001F0395">
              <w:rPr>
                <w:rFonts w:eastAsia="標楷體" w:hint="eastAsia"/>
              </w:rPr>
              <w:t>24</w:t>
            </w:r>
            <w:r w:rsidRPr="001F0395">
              <w:rPr>
                <w:rFonts w:eastAsia="標楷體" w:hint="eastAsia"/>
              </w:rPr>
              <w:t>小時死亡率</w:t>
            </w:r>
            <w:r w:rsidRPr="001F0395">
              <w:rPr>
                <w:rFonts w:eastAsia="標楷體" w:hint="eastAsia"/>
              </w:rPr>
              <w:t>(%)</w:t>
            </w: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BA61A1">
              <w:rPr>
                <w:rFonts w:ascii="標楷體" w:eastAsia="標楷體" w:hAnsi="標楷體" w:hint="eastAsia"/>
              </w:rPr>
              <w:t>快</w:t>
            </w:r>
            <w:proofErr w:type="gramStart"/>
            <w:r w:rsidRPr="00BA61A1">
              <w:rPr>
                <w:rFonts w:ascii="標楷體" w:eastAsia="標楷體" w:hAnsi="標楷體" w:hint="eastAsia"/>
              </w:rPr>
              <w:t>克利液劑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BA61A1">
              <w:t>50000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1F0395">
              <w:rPr>
                <w:rFonts w:eastAsia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 w:rsidRPr="001F0395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  <w:tcBorders>
              <w:top w:val="single" w:sz="12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1.3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1F0395">
              <w:rPr>
                <w:rFonts w:eastAsia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11.3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</w:t>
            </w:r>
            <w:r w:rsidRPr="001F0395">
              <w:rPr>
                <w:rFonts w:eastAsia="標楷體" w:hAnsi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22.5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33.8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Pr="001F0395">
              <w:rPr>
                <w:rFonts w:eastAsia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65.0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</w:t>
            </w:r>
            <w:r w:rsidRPr="001F0395">
              <w:rPr>
                <w:rFonts w:eastAsia="標楷體" w:hAnsi="標楷體" w:hint="eastAsia"/>
              </w:rPr>
              <w:t>.0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76.3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 w:rsidRPr="001F0395">
              <w:rPr>
                <w:rFonts w:eastAsia="標楷體" w:hAnsi="標楷體" w:hint="eastAsia"/>
              </w:rPr>
              <w:t>2.</w:t>
            </w:r>
            <w:r>
              <w:rPr>
                <w:rFonts w:eastAsia="標楷體" w:hAnsi="標楷體" w:hint="eastAsia"/>
              </w:rPr>
              <w:t>0</w:t>
            </w:r>
            <w:r w:rsidRPr="001F0395">
              <w:rPr>
                <w:rFonts w:eastAsia="標楷體" w:hAnsi="標楷體"/>
              </w:rPr>
              <w:t>×</w:t>
            </w:r>
            <w:r w:rsidRPr="001F0395">
              <w:rPr>
                <w:rFonts w:eastAsia="標楷體" w:hAnsi="標楷體" w:hint="eastAsia"/>
              </w:rPr>
              <w:t>10</w:t>
            </w:r>
            <w:r w:rsidRPr="001F0395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 w:rsidRPr="0035036E">
              <w:rPr>
                <w:rFonts w:hint="eastAsia"/>
                <w:color w:val="000000"/>
              </w:rPr>
              <w:t>0.0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92.5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</w:t>
            </w:r>
          </w:p>
        </w:tc>
        <w:tc>
          <w:tcPr>
            <w:tcW w:w="2980" w:type="dxa"/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int="eastAsia"/>
              </w:rPr>
              <w:t>4</w:t>
            </w:r>
            <w:r w:rsidRPr="00E26764">
              <w:rPr>
                <w:rFonts w:eastAsia="標楷體" w:hint="eastAsia"/>
              </w:rPr>
              <w:t>.0</w:t>
            </w:r>
            <w:r w:rsidRPr="00E26764">
              <w:rPr>
                <w:rFonts w:eastAsia="標楷體" w:hAnsi="標楷體"/>
              </w:rPr>
              <w:t>×</w:t>
            </w:r>
            <w:r w:rsidRPr="00E26764">
              <w:rPr>
                <w:rFonts w:eastAsia="標楷體" w:hAnsi="標楷體" w:hint="eastAsia"/>
              </w:rPr>
              <w:t>10</w:t>
            </w:r>
            <w:r w:rsidRPr="00E26764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2</w:t>
            </w:r>
          </w:p>
        </w:tc>
        <w:tc>
          <w:tcPr>
            <w:tcW w:w="2980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1.3</w:t>
            </w:r>
          </w:p>
        </w:tc>
        <w:tc>
          <w:tcPr>
            <w:tcW w:w="1833" w:type="dxa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96.3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A247CD" w:rsidRPr="001F0395" w:rsidTr="00697549">
        <w:trPr>
          <w:cantSplit/>
          <w:trHeight w:val="20"/>
        </w:trPr>
        <w:tc>
          <w:tcPr>
            <w:tcW w:w="2802" w:type="dxa"/>
            <w:vMerge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A247CD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int="eastAsia"/>
              </w:rPr>
              <w:t>1</w:t>
            </w:r>
            <w:r w:rsidRPr="00E26764">
              <w:rPr>
                <w:rFonts w:eastAsia="標楷體" w:hint="eastAsia"/>
              </w:rPr>
              <w:t>.0</w:t>
            </w:r>
            <w:r w:rsidRPr="00E26764">
              <w:rPr>
                <w:rFonts w:eastAsia="標楷體" w:hAnsi="標楷體"/>
              </w:rPr>
              <w:t>×</w:t>
            </w:r>
            <w:r w:rsidRPr="00E26764">
              <w:rPr>
                <w:rFonts w:eastAsia="標楷體" w:hAnsi="標楷體" w:hint="eastAsia"/>
              </w:rPr>
              <w:t>10</w:t>
            </w:r>
            <w:r w:rsidRPr="00E26764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1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hint="eastAsia"/>
              </w:rPr>
              <w:t>6.3</w:t>
            </w:r>
          </w:p>
        </w:tc>
        <w:tc>
          <w:tcPr>
            <w:tcW w:w="1833" w:type="dxa"/>
            <w:tcBorders>
              <w:bottom w:val="single" w:sz="4" w:space="0" w:color="auto"/>
            </w:tcBorders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right"/>
            </w:pPr>
            <w:r>
              <w:rPr>
                <w:rFonts w:hint="eastAsia"/>
              </w:rPr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A247CD" w:rsidRPr="001F0395" w:rsidRDefault="00A247CD" w:rsidP="00697549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</w:tbl>
    <w:p w:rsidR="00A247CD" w:rsidRPr="001F0395" w:rsidRDefault="00A247CD" w:rsidP="00A247CD">
      <w:pPr>
        <w:rPr>
          <w:rFonts w:eastAsia="標楷體"/>
        </w:rPr>
      </w:pPr>
      <w:r w:rsidRPr="001F0395">
        <w:rPr>
          <w:rFonts w:eastAsia="標楷體" w:hint="eastAsia"/>
        </w:rPr>
        <w:t>結果：</w:t>
      </w:r>
    </w:p>
    <w:p w:rsidR="00A247CD" w:rsidRPr="00553FA8" w:rsidRDefault="00A247CD" w:rsidP="00B54555">
      <w:pPr>
        <w:pStyle w:val="a3"/>
        <w:adjustRightInd w:val="0"/>
        <w:snapToGrid w:val="0"/>
        <w:spacing w:beforeLines="50" w:line="0" w:lineRule="atLeast"/>
        <w:ind w:leftChars="0" w:left="357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 w:hint="eastAsia"/>
          <w:szCs w:val="24"/>
        </w:rPr>
        <w:t>KC</w:t>
      </w:r>
      <w:r w:rsidRPr="00553FA8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半數擊昏濃度</w:t>
      </w:r>
      <w:r w:rsidRPr="00553FA8">
        <w:rPr>
          <w:rFonts w:ascii="Times New Roman" w:eastAsia="標楷體" w:hAnsi="Times New Roman" w:hint="eastAsia"/>
          <w:szCs w:val="24"/>
        </w:rPr>
        <w:t>)=</w:t>
      </w:r>
      <w:r>
        <w:rPr>
          <w:rFonts w:ascii="Times New Roman" w:eastAsia="標楷體" w:hAnsi="Times New Roman" w:hint="eastAsia"/>
          <w:szCs w:val="24"/>
        </w:rPr>
        <w:t>7</w:t>
      </w:r>
      <w:r w:rsidRPr="00553FA8">
        <w:rPr>
          <w:rFonts w:ascii="Times New Roman" w:eastAsia="標楷體" w:hAnsi="Times New Roman" w:hint="eastAsia"/>
          <w:szCs w:val="24"/>
        </w:rPr>
        <w:t>.4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1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1.3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553FA8">
        <w:rPr>
          <w:rFonts w:ascii="Times New Roman" w:eastAsia="標楷體" w:hAnsi="Times New Roman"/>
        </w:rPr>
        <w:t>LC</w:t>
      </w:r>
      <w:r w:rsidRPr="00553FA8">
        <w:rPr>
          <w:rFonts w:ascii="Times New Roman" w:eastAsia="標楷體" w:hAnsi="Times New Roman"/>
          <w:vertAlign w:val="subscript"/>
        </w:rPr>
        <w:t>50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半數致死濃度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</w:rPr>
        <w:t>=</w:t>
      </w:r>
      <w:r>
        <w:rPr>
          <w:rFonts w:ascii="Times New Roman" w:eastAsia="標楷體" w:hAnsi="標楷體" w:hint="eastAsia"/>
        </w:rPr>
        <w:t>2.8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3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359.7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  <w:szCs w:val="24"/>
        </w:rPr>
        <w:t>(</w:t>
      </w:r>
      <w:r w:rsidRPr="00553FA8">
        <w:rPr>
          <w:rFonts w:ascii="Times New Roman" w:eastAsia="標楷體" w:hAnsi="Times New Roman" w:hint="eastAsia"/>
          <w:szCs w:val="24"/>
        </w:rPr>
        <w:t>致死率達</w:t>
      </w:r>
      <w:r w:rsidRPr="00553FA8">
        <w:rPr>
          <w:rFonts w:ascii="Times New Roman" w:eastAsia="標楷體" w:hAnsi="Times New Roman" w:hint="eastAsia"/>
          <w:szCs w:val="24"/>
        </w:rPr>
        <w:t>99%</w:t>
      </w:r>
      <w:r w:rsidRPr="00553FA8">
        <w:rPr>
          <w:rFonts w:ascii="Times New Roman" w:eastAsia="標楷體" w:hAnsi="Times New Roman" w:hint="eastAsia"/>
          <w:szCs w:val="24"/>
        </w:rPr>
        <w:t>的濃度</w:t>
      </w:r>
      <w:r w:rsidRPr="00553FA8">
        <w:rPr>
          <w:rFonts w:ascii="Times New Roman" w:eastAsia="標楷體" w:hAnsi="Times New Roman" w:hint="eastAsia"/>
          <w:szCs w:val="24"/>
        </w:rPr>
        <w:t>)</w:t>
      </w:r>
      <w:r w:rsidRPr="00553FA8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9.8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2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10.2</w:t>
      </w:r>
      <w:r w:rsidRPr="00553FA8">
        <w:rPr>
          <w:rFonts w:ascii="Times New Roman" w:eastAsia="標楷體" w:hAnsi="標楷體"/>
        </w:rPr>
        <w:t>倍</w:t>
      </w:r>
    </w:p>
    <w:p w:rsidR="00A247CD" w:rsidRPr="00553FA8" w:rsidRDefault="00A247CD" w:rsidP="00A247CD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553FA8">
        <w:rPr>
          <w:rFonts w:ascii="Times New Roman" w:eastAsia="標楷體" w:hAnsi="標楷體" w:hint="eastAsia"/>
        </w:rPr>
        <w:t>診斷濃度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Times New Roman"/>
          <w:szCs w:val="24"/>
        </w:rPr>
        <w:t>LC</w:t>
      </w:r>
      <w:r w:rsidRPr="00553FA8">
        <w:rPr>
          <w:rFonts w:ascii="Times New Roman" w:eastAsia="標楷體" w:hAnsi="Times New Roman"/>
          <w:szCs w:val="24"/>
          <w:vertAlign w:val="subscript"/>
        </w:rPr>
        <w:t>99</w:t>
      </w:r>
      <w:r w:rsidRPr="00553FA8">
        <w:rPr>
          <w:rFonts w:ascii="Times New Roman" w:eastAsia="標楷體" w:hAnsi="Times New Roman" w:hint="eastAsia"/>
        </w:rPr>
        <w:t>的兩倍</w:t>
      </w:r>
      <w:r w:rsidRPr="00553FA8">
        <w:rPr>
          <w:rFonts w:ascii="Times New Roman" w:eastAsia="標楷體" w:hAnsi="標楷體" w:hint="eastAsia"/>
        </w:rPr>
        <w:t>，建議田間使用的濃度</w:t>
      </w:r>
      <w:r w:rsidRPr="00553FA8">
        <w:rPr>
          <w:rFonts w:ascii="Times New Roman" w:eastAsia="標楷體" w:hAnsi="標楷體" w:hint="eastAsia"/>
        </w:rPr>
        <w:t>)=</w:t>
      </w:r>
      <w:r>
        <w:rPr>
          <w:rFonts w:ascii="Times New Roman" w:eastAsia="標楷體" w:hAnsi="標楷體" w:hint="eastAsia"/>
        </w:rPr>
        <w:t>2.0</w:t>
      </w:r>
      <w:r w:rsidRPr="00553FA8">
        <w:rPr>
          <w:rFonts w:ascii="Times New Roman" w:eastAsia="標楷體" w:hAnsi="Times New Roman"/>
        </w:rPr>
        <w:t>×10</w:t>
      </w:r>
      <w:r w:rsidRPr="00553FA8">
        <w:rPr>
          <w:rFonts w:ascii="Times New Roman" w:eastAsia="標楷體" w:hAnsi="Times New Roman"/>
          <w:vertAlign w:val="superscript"/>
        </w:rPr>
        <w:t>-</w:t>
      </w:r>
      <w:r>
        <w:rPr>
          <w:rFonts w:ascii="Times New Roman" w:eastAsia="標楷體" w:hAnsi="Times New Roman" w:hint="eastAsia"/>
          <w:vertAlign w:val="superscript"/>
        </w:rPr>
        <w:t>1</w:t>
      </w:r>
      <w:r w:rsidRPr="00553FA8">
        <w:rPr>
          <w:rFonts w:ascii="Times New Roman" w:eastAsia="標楷體" w:hAnsi="Times New Roman"/>
        </w:rPr>
        <w:t>(v/v%)</w:t>
      </w:r>
      <w:proofErr w:type="gramStart"/>
      <w:r w:rsidRPr="00553FA8">
        <w:rPr>
          <w:rFonts w:ascii="Times New Roman" w:eastAsia="標楷體" w:hAnsi="Times New Roman" w:hint="eastAsia"/>
        </w:rPr>
        <w:t>≒</w:t>
      </w:r>
      <w:proofErr w:type="gramEnd"/>
      <w:r w:rsidRPr="00553FA8">
        <w:rPr>
          <w:rFonts w:ascii="Times New Roman" w:eastAsia="標楷體" w:hAnsi="標楷體"/>
        </w:rPr>
        <w:t>稀釋</w:t>
      </w:r>
      <w:r>
        <w:rPr>
          <w:rFonts w:ascii="Times New Roman" w:eastAsia="標楷體" w:hAnsi="標楷體" w:hint="eastAsia"/>
        </w:rPr>
        <w:t>5.1</w:t>
      </w:r>
      <w:r w:rsidRPr="00553FA8">
        <w:rPr>
          <w:rFonts w:ascii="Times New Roman" w:eastAsia="標楷體" w:hAnsi="標楷體"/>
        </w:rPr>
        <w:t>倍</w:t>
      </w:r>
      <w:r w:rsidRPr="00553FA8">
        <w:rPr>
          <w:rFonts w:ascii="Times New Roman" w:eastAsia="標楷體" w:hAnsi="標楷體" w:hint="eastAsia"/>
        </w:rPr>
        <w:t>(</w:t>
      </w:r>
      <w:r w:rsidRPr="00553FA8">
        <w:rPr>
          <w:rFonts w:ascii="Times New Roman" w:eastAsia="標楷體" w:hAnsi="標楷體" w:hint="eastAsia"/>
        </w:rPr>
        <w:t>戶內空間噴灑</w:t>
      </w:r>
      <w:r w:rsidRPr="00553FA8">
        <w:rPr>
          <w:rFonts w:ascii="Times New Roman" w:eastAsia="標楷體" w:hAnsi="標楷體" w:hint="eastAsia"/>
        </w:rPr>
        <w:t>)</w:t>
      </w:r>
    </w:p>
    <w:p w:rsidR="00A247CD" w:rsidRPr="004F09C1" w:rsidRDefault="00A247CD" w:rsidP="00A247CD">
      <w:pPr>
        <w:rPr>
          <w:rFonts w:ascii="標楷體" w:eastAsia="標楷體" w:hAnsi="標楷體"/>
          <w:b/>
          <w:sz w:val="28"/>
          <w:szCs w:val="28"/>
          <w:highlight w:val="yellow"/>
        </w:rPr>
        <w:sectPr w:rsidR="00A247CD" w:rsidRPr="004F09C1" w:rsidSect="00663A44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A247CD" w:rsidRPr="00553FA8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 w:rsidRPr="00553FA8"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品系埃及</w:t>
      </w:r>
      <w:proofErr w:type="gramStart"/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斑蚊對</w:t>
      </w:r>
      <w:r>
        <w:rPr>
          <w:rFonts w:ascii="標楷體" w:eastAsia="標楷體" w:hAnsi="標楷體" w:hint="eastAsia"/>
          <w:b/>
          <w:spacing w:val="12"/>
          <w:sz w:val="28"/>
          <w:szCs w:val="28"/>
        </w:rPr>
        <w:t>快克利液</w:t>
      </w:r>
      <w:r w:rsidRPr="00553FA8">
        <w:rPr>
          <w:rFonts w:eastAsia="標楷體" w:hint="eastAsia"/>
          <w:b/>
          <w:sz w:val="28"/>
          <w:szCs w:val="28"/>
        </w:rPr>
        <w:t>劑</w:t>
      </w:r>
      <w:r w:rsidRPr="00553FA8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A247CD" w:rsidRPr="00553FA8" w:rsidRDefault="00A247CD" w:rsidP="00A247CD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>
            <wp:extent cx="6122504" cy="3627783"/>
            <wp:effectExtent l="0" t="0" r="0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B5BF4" w:rsidRDefault="00A247CD" w:rsidP="00A247CD">
      <w:pPr>
        <w:jc w:val="center"/>
      </w:pPr>
      <w:r>
        <w:rPr>
          <w:noProof/>
        </w:rPr>
        <w:drawing>
          <wp:inline distT="0" distB="0" distL="0" distR="0">
            <wp:extent cx="6241774" cy="3727174"/>
            <wp:effectExtent l="0" t="0" r="6985" b="6985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3B5BF4" w:rsidSect="00496C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66F" w:rsidRDefault="0011066F" w:rsidP="00B54555">
      <w:r>
        <w:separator/>
      </w:r>
    </w:p>
  </w:endnote>
  <w:endnote w:type="continuationSeparator" w:id="0">
    <w:p w:rsidR="0011066F" w:rsidRDefault="0011066F" w:rsidP="00B545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66F" w:rsidRDefault="0011066F" w:rsidP="00B54555">
      <w:r>
        <w:separator/>
      </w:r>
    </w:p>
  </w:footnote>
  <w:footnote w:type="continuationSeparator" w:id="0">
    <w:p w:rsidR="0011066F" w:rsidRDefault="0011066F" w:rsidP="00B545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47CD"/>
    <w:rsid w:val="0011066F"/>
    <w:rsid w:val="00145505"/>
    <w:rsid w:val="003B5BF4"/>
    <w:rsid w:val="00496CA8"/>
    <w:rsid w:val="00A247CD"/>
    <w:rsid w:val="00B54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47C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247CD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A247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A247CD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B54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54555"/>
    <w:rPr>
      <w:kern w:val="2"/>
    </w:rPr>
  </w:style>
  <w:style w:type="paragraph" w:styleId="a8">
    <w:name w:val="footer"/>
    <w:basedOn w:val="a"/>
    <w:link w:val="a9"/>
    <w:rsid w:val="00B54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54555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47C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247CD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A247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A247CD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hart" Target="charts/chart4.xml"/><Relationship Id="rId5" Type="http://schemas.openxmlformats.org/officeDocument/2006/relationships/endnotes" Target="endnotes.xml"/><Relationship Id="rId10" Type="http://schemas.openxmlformats.org/officeDocument/2006/relationships/chart" Target="charts/chart3.xml"/><Relationship Id="rId4" Type="http://schemas.openxmlformats.org/officeDocument/2006/relationships/footnotes" Target="footnotes.xml"/><Relationship Id="rId9" Type="http://schemas.openxmlformats.org/officeDocument/2006/relationships/chart" Target="charts/chart2.xml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728-730&#20778;&#20811;-&#24863;&#21463;&#24615;\&#24863;&#21463;&#24615;-&#20778;&#20811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728-730&#20778;&#20811;-&#24863;&#21463;&#24615;\&#24863;&#21463;&#24615;-&#20778;&#20811;&#24863;&#34277;&#36852;&#27512;&#32218;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&#24050;&#36865;&#36942;\9&#26376;\1010716-0717%20&#24863;&#21463;&#24615;%20-%20&#24555;&#20811;&#21033;&#28082;&#21137;\&#24863;&#21463;&#24615;-&#24555;&#20811;&#21033;&#28082;&#21137;&#24863;&#34277;&#24615;&#22522;&#32218;.xls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&#24050;&#36865;&#36942;\9&#26376;\1010716-0717%20&#24863;&#21463;&#24615;%20-%20&#24555;&#20811;&#21033;&#28082;&#21137;\&#24863;&#21463;&#24615;-&#24555;&#20811;&#21033;&#28082;&#21137;&#24863;&#34277;&#24615;&#22522;&#32218;.xls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281E-2"/>
          <c:y val="6.8883610451306782E-2"/>
          <c:w val="0.79576622707437661"/>
          <c:h val="0.69596199524940705"/>
        </c:manualLayout>
      </c:layout>
      <c:scatterChart>
        <c:scatterStyle val="lineMarker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0172358823245256"/>
                  <c:y val="-9.3478016334914649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34.1x + 169.2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34.1</a:t>
                    </a:r>
                    <a:endParaRPr lang="en-US" altLang="en-US"/>
                  </a:p>
                </c:rich>
              </c:tx>
              <c:numFmt formatCode="General" sourceLinked="0"/>
            </c:trendlineLbl>
          </c:trendline>
          <c:trendline>
            <c:trendlineType val="linear"/>
          </c:trendline>
          <c:xVal>
            <c:numRef>
              <c:f>'KC50'!$B$22:$B$28</c:f>
              <c:numCache>
                <c:formatCode>General</c:formatCode>
                <c:ptCount val="7"/>
                <c:pt idx="0">
                  <c:v>-5.3010299956639964</c:v>
                </c:pt>
                <c:pt idx="1">
                  <c:v>-4.6989700043360054</c:v>
                </c:pt>
                <c:pt idx="2">
                  <c:v>-4.3979400086720375</c:v>
                </c:pt>
                <c:pt idx="3">
                  <c:v>-4.2430380486862855</c:v>
                </c:pt>
                <c:pt idx="4">
                  <c:v>-4</c:v>
                </c:pt>
                <c:pt idx="5">
                  <c:v>-3</c:v>
                </c:pt>
                <c:pt idx="6">
                  <c:v>-2.6020599913279625</c:v>
                </c:pt>
              </c:numCache>
            </c:numRef>
          </c:xVal>
          <c:yVal>
            <c:numRef>
              <c:f>'KC50'!$C$22:$C$28</c:f>
              <c:numCache>
                <c:formatCode>g/"通""用""格""式"</c:formatCode>
                <c:ptCount val="7"/>
                <c:pt idx="0">
                  <c:v>0</c:v>
                </c:pt>
                <c:pt idx="1">
                  <c:v>5</c:v>
                </c:pt>
                <c:pt idx="2">
                  <c:v>11.25</c:v>
                </c:pt>
                <c:pt idx="3">
                  <c:v>25</c:v>
                </c:pt>
                <c:pt idx="4">
                  <c:v>26.25</c:v>
                </c:pt>
                <c:pt idx="5">
                  <c:v>67.5</c:v>
                </c:pt>
                <c:pt idx="6">
                  <c:v>86.666666666666671</c:v>
                </c:pt>
              </c:numCache>
            </c:numRef>
          </c:yVal>
        </c:ser>
        <c:axId val="136745344"/>
        <c:axId val="136747264"/>
      </c:scatterChart>
      <c:valAx>
        <c:axId val="136745344"/>
        <c:scaling>
          <c:orientation val="minMax"/>
          <c:max val="-2.5"/>
          <c:min val="-5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eneral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6747264"/>
        <c:crossesAt val="0"/>
        <c:crossBetween val="midCat"/>
      </c:valAx>
      <c:valAx>
        <c:axId val="136747264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0804888652722093"/>
              <c:y val="0.15439820022497194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674534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274E-2"/>
          <c:y val="2.7368421052631497E-2"/>
          <c:w val="0.81248243865782332"/>
          <c:h val="0.80473380301146569"/>
        </c:manualLayout>
      </c:layout>
      <c:scatterChart>
        <c:scatterStyle val="lineMarker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0119025059626887"/>
                  <c:y val="2.877192982456141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195.1 + 33.7x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33.7</a:t>
                    </a:r>
                    <a:endParaRPr lang="en-US" altLang="en-US"/>
                  </a:p>
                </c:rich>
              </c:tx>
              <c:numFmt formatCode="General" sourceLinked="0"/>
            </c:trendlineLbl>
          </c:trendline>
          <c:trendline>
            <c:trendlineType val="linear"/>
          </c:trendline>
          <c:xVal>
            <c:numRef>
              <c:f>'LC50'!$B$39:$B$45</c:f>
              <c:numCache>
                <c:formatCode>General</c:formatCode>
                <c:ptCount val="7"/>
                <c:pt idx="0">
                  <c:v>-5.3010299956639964</c:v>
                </c:pt>
                <c:pt idx="1">
                  <c:v>-4.6989700043360054</c:v>
                </c:pt>
                <c:pt idx="2">
                  <c:v>-4.3979400086720375</c:v>
                </c:pt>
                <c:pt idx="3">
                  <c:v>-4.2430380486862855</c:v>
                </c:pt>
                <c:pt idx="4">
                  <c:v>-4</c:v>
                </c:pt>
                <c:pt idx="5">
                  <c:v>-3</c:v>
                </c:pt>
                <c:pt idx="6">
                  <c:v>-2.6020599913279625</c:v>
                </c:pt>
              </c:numCache>
            </c:numRef>
          </c:xVal>
          <c:yVal>
            <c:numRef>
              <c:f>'LC50'!$C$39:$C$45</c:f>
              <c:numCache>
                <c:formatCode>0.00_ </c:formatCode>
                <c:ptCount val="7"/>
                <c:pt idx="0">
                  <c:v>8.75</c:v>
                </c:pt>
                <c:pt idx="1">
                  <c:v>35</c:v>
                </c:pt>
                <c:pt idx="2">
                  <c:v>48.75</c:v>
                </c:pt>
                <c:pt idx="3">
                  <c:v>56.25</c:v>
                </c:pt>
                <c:pt idx="4">
                  <c:v>70</c:v>
                </c:pt>
                <c:pt idx="5">
                  <c:v>95</c:v>
                </c:pt>
                <c:pt idx="6">
                  <c:v>100</c:v>
                </c:pt>
              </c:numCache>
            </c:numRef>
          </c:yVal>
        </c:ser>
        <c:axId val="136796032"/>
        <c:axId val="138940416"/>
      </c:scatterChart>
      <c:valAx>
        <c:axId val="136796032"/>
        <c:scaling>
          <c:orientation val="minMax"/>
          <c:max val="-2.5"/>
          <c:min val="-5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eneral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940416"/>
        <c:crossesAt val="0"/>
        <c:crossBetween val="midCat"/>
      </c:valAx>
      <c:valAx>
        <c:axId val="138940416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861763648838846"/>
              <c:y val="0.13616770272137041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679603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2.6206896551724156E-2"/>
          <c:y val="6.8883610451306448E-2"/>
          <c:w val="0.8238531795391566"/>
          <c:h val="0.69596199524940638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882607834964253"/>
                  <c:y val="-0.462379916329064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3.4 + 1.0x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1.0</a:t>
                    </a: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KC50!$B$21:$B$29</c:f>
              <c:numCache>
                <c:formatCode>g/"通""用""格""式"</c:formatCode>
                <c:ptCount val="9"/>
                <c:pt idx="0">
                  <c:v>-4.698970004336017</c:v>
                </c:pt>
                <c:pt idx="1">
                  <c:v>-3.3979400086720384</c:v>
                </c:pt>
                <c:pt idx="2">
                  <c:v>-3</c:v>
                </c:pt>
                <c:pt idx="3">
                  <c:v>-2.6989700043360192</c:v>
                </c:pt>
                <c:pt idx="4">
                  <c:v>-2.3979400086720384</c:v>
                </c:pt>
                <c:pt idx="5">
                  <c:v>-2</c:v>
                </c:pt>
                <c:pt idx="6">
                  <c:v>-1.6989700043360194</c:v>
                </c:pt>
                <c:pt idx="7">
                  <c:v>-1.3979400086720375</c:v>
                </c:pt>
                <c:pt idx="8">
                  <c:v>-1</c:v>
                </c:pt>
              </c:numCache>
            </c:numRef>
          </c:xVal>
          <c:yVal>
            <c:numRef>
              <c:f>KC50!$C$21:$C$29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 formatCode="g/&quot;通&quot;&quot;用&quot;&quot;格&quot;&quot;式&quot;">
                  <c:v>0</c:v>
                </c:pt>
                <c:pt idx="6" formatCode="g/&quot;通&quot;&quot;用&quot;&quot;格&quot;&quot;式&quot;">
                  <c:v>0</c:v>
                </c:pt>
                <c:pt idx="7" formatCode="g/&quot;通&quot;&quot;用&quot;&quot;格&quot;&quot;式&quot;">
                  <c:v>1.3</c:v>
                </c:pt>
                <c:pt idx="8" formatCode="g/&quot;通&quot;&quot;用&quot;&quot;格&quot;&quot;式&quot;">
                  <c:v>6.3</c:v>
                </c:pt>
              </c:numCache>
            </c:numRef>
          </c:yVal>
        </c:ser>
        <c:axId val="139011200"/>
        <c:axId val="139013120"/>
      </c:scatterChart>
      <c:valAx>
        <c:axId val="139011200"/>
        <c:scaling>
          <c:orientation val="minMax"/>
          <c:max val="-1"/>
          <c:min val="-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9013120"/>
        <c:crossesAt val="0"/>
        <c:crossBetween val="midCat"/>
        <c:majorUnit val="0.5"/>
      </c:valAx>
      <c:valAx>
        <c:axId val="139013120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773485128335254"/>
              <c:y val="0.13265917902394175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901120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3.310344827586207E-2"/>
          <c:y val="7.2234762979683967E-2"/>
          <c:w val="0.81810807324941581"/>
          <c:h val="0.69525959367945844"/>
        </c:manualLayout>
      </c:layout>
      <c:scatterChart>
        <c:scatterStyle val="lineMarker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6380317518705392"/>
                  <c:y val="2.3172516228112772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135.4 + 32.3x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32.3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</c:trendline>
          <c:xVal>
            <c:numRef>
              <c:f>LC50!$B$35:$B$43</c:f>
              <c:numCache>
                <c:formatCode>g/"通""用""格""式"</c:formatCode>
                <c:ptCount val="9"/>
                <c:pt idx="0">
                  <c:v>-4.698970004336017</c:v>
                </c:pt>
                <c:pt idx="1">
                  <c:v>-3.3979400086720384</c:v>
                </c:pt>
                <c:pt idx="2">
                  <c:v>-3</c:v>
                </c:pt>
                <c:pt idx="3">
                  <c:v>-2.6989700043360192</c:v>
                </c:pt>
                <c:pt idx="4">
                  <c:v>-2.3979400086720384</c:v>
                </c:pt>
                <c:pt idx="5">
                  <c:v>-2</c:v>
                </c:pt>
                <c:pt idx="6">
                  <c:v>-1.6989700043360194</c:v>
                </c:pt>
                <c:pt idx="7">
                  <c:v>-1.3979400086720375</c:v>
                </c:pt>
                <c:pt idx="8">
                  <c:v>-1</c:v>
                </c:pt>
              </c:numCache>
            </c:numRef>
          </c:xVal>
          <c:yVal>
            <c:numRef>
              <c:f>LC50!$C$35:$C$43</c:f>
              <c:numCache>
                <c:formatCode>0.0</c:formatCode>
                <c:ptCount val="9"/>
                <c:pt idx="0">
                  <c:v>1.25</c:v>
                </c:pt>
                <c:pt idx="1">
                  <c:v>11.25</c:v>
                </c:pt>
                <c:pt idx="2">
                  <c:v>22.5</c:v>
                </c:pt>
                <c:pt idx="3" formatCode="g/&quot;通&quot;&quot;用&quot;&quot;格&quot;&quot;式&quot;">
                  <c:v>33.75</c:v>
                </c:pt>
                <c:pt idx="4" formatCode="g/&quot;通&quot;&quot;用&quot;&quot;格&quot;&quot;式&quot;">
                  <c:v>65</c:v>
                </c:pt>
                <c:pt idx="5" formatCode="g/&quot;通&quot;&quot;用&quot;&quot;格&quot;&quot;式&quot;">
                  <c:v>76.25</c:v>
                </c:pt>
                <c:pt idx="6" formatCode="g/&quot;通&quot;&quot;用&quot;&quot;格&quot;&quot;式&quot;">
                  <c:v>92.5</c:v>
                </c:pt>
                <c:pt idx="7" formatCode="g/&quot;通&quot;&quot;用&quot;&quot;格&quot;&quot;式&quot;">
                  <c:v>96.25</c:v>
                </c:pt>
                <c:pt idx="8" formatCode="g/&quot;通&quot;&quot;用&quot;&quot;格&quot;&quot;式&quot;">
                  <c:v>100</c:v>
                </c:pt>
              </c:numCache>
            </c:numRef>
          </c:yVal>
        </c:ser>
        <c:axId val="139039872"/>
        <c:axId val="139041792"/>
      </c:scatterChart>
      <c:valAx>
        <c:axId val="139039872"/>
        <c:scaling>
          <c:orientation val="minMax"/>
          <c:max val="-1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9041792"/>
        <c:crossesAt val="0"/>
        <c:crossBetween val="midCat"/>
        <c:majorUnit val="0.5"/>
      </c:valAx>
      <c:valAx>
        <c:axId val="139041792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659623049472795"/>
              <c:y val="0.12802967337416157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90398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362</Words>
  <Characters>2066</Characters>
  <Application>Microsoft Office Word</Application>
  <DocSecurity>0</DocSecurity>
  <Lines>17</Lines>
  <Paragraphs>4</Paragraphs>
  <ScaleCrop>false</ScaleCrop>
  <Company>Your Company Name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USER</cp:lastModifiedBy>
  <cp:revision>2</cp:revision>
  <cp:lastPrinted>2012-11-01T06:12:00Z</cp:lastPrinted>
  <dcterms:created xsi:type="dcterms:W3CDTF">2012-12-06T09:26:00Z</dcterms:created>
  <dcterms:modified xsi:type="dcterms:W3CDTF">2012-12-06T09:26:00Z</dcterms:modified>
</cp:coreProperties>
</file>