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93" w:rsidRDefault="00504493" w:rsidP="00504493">
      <w:pPr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pacing w:val="12"/>
          <w:sz w:val="28"/>
          <w:szCs w:val="28"/>
        </w:rPr>
        <w:t>101</w:t>
      </w:r>
      <w:r>
        <w:rPr>
          <w:rFonts w:eastAsia="標楷體" w:hAnsi="標楷體" w:hint="eastAsia"/>
          <w:spacing w:val="12"/>
          <w:sz w:val="28"/>
          <w:szCs w:val="28"/>
        </w:rPr>
        <w:t>年</w:t>
      </w:r>
      <w:r>
        <w:rPr>
          <w:rFonts w:eastAsia="標楷體" w:hAnsi="標楷體" w:hint="eastAsia"/>
          <w:spacing w:val="12"/>
          <w:sz w:val="28"/>
          <w:szCs w:val="28"/>
        </w:rPr>
        <w:t>5</w:t>
      </w:r>
      <w:r>
        <w:rPr>
          <w:rFonts w:eastAsia="標楷體" w:hAnsi="標楷體" w:hint="eastAsia"/>
          <w:spacing w:val="12"/>
          <w:sz w:val="28"/>
          <w:szCs w:val="28"/>
        </w:rPr>
        <w:t>月</w:t>
      </w:r>
      <w:bookmarkStart w:id="0" w:name="_GoBack"/>
      <w:bookmarkEnd w:id="0"/>
      <w:r>
        <w:rPr>
          <w:rFonts w:eastAsia="標楷體" w:hAnsi="標楷體" w:hint="eastAsia"/>
          <w:spacing w:val="12"/>
          <w:sz w:val="28"/>
          <w:szCs w:val="28"/>
        </w:rPr>
        <w:t>感受性</w:t>
      </w:r>
      <w:r>
        <w:rPr>
          <w:rFonts w:eastAsia="標楷體" w:hAnsi="標楷體"/>
          <w:spacing w:val="12"/>
          <w:sz w:val="28"/>
          <w:szCs w:val="28"/>
        </w:rPr>
        <w:t>品系埃及斑蚊藥效試驗</w:t>
      </w:r>
      <w:r>
        <w:rPr>
          <w:rFonts w:eastAsia="標楷體" w:hAnsi="標楷體" w:hint="eastAsia"/>
          <w:spacing w:val="12"/>
          <w:sz w:val="28"/>
          <w:szCs w:val="28"/>
        </w:rPr>
        <w:t>結果</w:t>
      </w:r>
    </w:p>
    <w:tbl>
      <w:tblPr>
        <w:tblpPr w:leftFromText="180" w:rightFromText="180" w:vertAnchor="text" w:horzAnchor="margin" w:tblpY="362"/>
        <w:tblW w:w="14425" w:type="dxa"/>
        <w:tblLook w:val="04A0" w:firstRow="1" w:lastRow="0" w:firstColumn="1" w:lastColumn="0" w:noHBand="0" w:noVBand="1"/>
      </w:tblPr>
      <w:tblGrid>
        <w:gridCol w:w="4503"/>
        <w:gridCol w:w="2268"/>
        <w:gridCol w:w="3402"/>
        <w:gridCol w:w="2268"/>
        <w:gridCol w:w="1984"/>
      </w:tblGrid>
      <w:tr w:rsidR="00504493" w:rsidTr="00D837CE">
        <w:tc>
          <w:tcPr>
            <w:tcW w:w="4503" w:type="dxa"/>
          </w:tcPr>
          <w:p w:rsidR="00504493" w:rsidRDefault="00504493" w:rsidP="00D837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試驗人員：夏維泰、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林秀品</w:t>
            </w:r>
          </w:p>
        </w:tc>
        <w:tc>
          <w:tcPr>
            <w:tcW w:w="5670" w:type="dxa"/>
            <w:gridSpan w:val="2"/>
          </w:tcPr>
          <w:p w:rsidR="00504493" w:rsidRDefault="00504493" w:rsidP="00D837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試驗蚊蟲：</w:t>
            </w:r>
            <w:r>
              <w:rPr>
                <w:rFonts w:ascii="標楷體" w:eastAsia="標楷體" w:hAnsi="標楷體" w:hint="eastAsia"/>
                <w:u w:val="single"/>
              </w:rPr>
              <w:t>感受性</w:t>
            </w:r>
            <w:r>
              <w:rPr>
                <w:rFonts w:ascii="標楷體" w:eastAsia="標楷體" w:hAnsi="標楷體"/>
              </w:rPr>
              <w:t>品系，未吸</w:t>
            </w:r>
            <w:proofErr w:type="gramStart"/>
            <w:r>
              <w:rPr>
                <w:rFonts w:ascii="標楷體" w:eastAsia="標楷體" w:hAnsi="標楷體"/>
              </w:rPr>
              <w:t>血雌蚊(</w:t>
            </w:r>
            <w:proofErr w:type="gramEnd"/>
            <w:r>
              <w:rPr>
                <w:rFonts w:ascii="標楷體" w:eastAsia="標楷體" w:hAnsi="標楷體"/>
              </w:rPr>
              <w:t>3~5日齡)</w:t>
            </w:r>
          </w:p>
        </w:tc>
        <w:tc>
          <w:tcPr>
            <w:tcW w:w="2268" w:type="dxa"/>
          </w:tcPr>
          <w:p w:rsidR="00504493" w:rsidRDefault="00504493" w:rsidP="00D837CE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504493" w:rsidRDefault="00504493" w:rsidP="00D837CE">
            <w:pPr>
              <w:rPr>
                <w:rFonts w:ascii="標楷體" w:eastAsia="標楷體" w:hAnsi="標楷體"/>
              </w:rPr>
            </w:pPr>
          </w:p>
        </w:tc>
      </w:tr>
      <w:tr w:rsidR="00504493" w:rsidTr="00D837CE">
        <w:tc>
          <w:tcPr>
            <w:tcW w:w="4503" w:type="dxa"/>
          </w:tcPr>
          <w:p w:rsidR="00504493" w:rsidRDefault="00504493" w:rsidP="00D837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試驗</w:t>
            </w:r>
            <w:r>
              <w:rPr>
                <w:rFonts w:ascii="標楷體" w:eastAsia="標楷體" w:hAnsi="標楷體"/>
              </w:rPr>
              <w:t>環境：溫度25±2℃</w:t>
            </w:r>
          </w:p>
        </w:tc>
        <w:tc>
          <w:tcPr>
            <w:tcW w:w="2268" w:type="dxa"/>
          </w:tcPr>
          <w:p w:rsidR="00504493" w:rsidRDefault="00504493" w:rsidP="00D837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濕度：65±10</w:t>
            </w:r>
            <w:r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/>
              </w:rPr>
              <w:t xml:space="preserve"> RH</w:t>
            </w:r>
          </w:p>
        </w:tc>
        <w:tc>
          <w:tcPr>
            <w:tcW w:w="3402" w:type="dxa"/>
          </w:tcPr>
          <w:p w:rsidR="00504493" w:rsidRDefault="00504493" w:rsidP="00D837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日照：12小時</w:t>
            </w:r>
          </w:p>
        </w:tc>
        <w:tc>
          <w:tcPr>
            <w:tcW w:w="2268" w:type="dxa"/>
          </w:tcPr>
          <w:p w:rsidR="00504493" w:rsidRDefault="00504493" w:rsidP="00D837CE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504493" w:rsidRDefault="00504493" w:rsidP="00D837CE">
            <w:pPr>
              <w:rPr>
                <w:rFonts w:ascii="標楷體" w:eastAsia="標楷體" w:hAnsi="標楷體"/>
              </w:rPr>
            </w:pPr>
          </w:p>
        </w:tc>
      </w:tr>
      <w:tr w:rsidR="00504493" w:rsidTr="00D837CE">
        <w:tc>
          <w:tcPr>
            <w:tcW w:w="4503" w:type="dxa"/>
          </w:tcPr>
          <w:p w:rsidR="00504493" w:rsidRDefault="00504493" w:rsidP="00D837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噴嘴型式：二流體</w:t>
            </w:r>
          </w:p>
        </w:tc>
        <w:tc>
          <w:tcPr>
            <w:tcW w:w="2268" w:type="dxa"/>
          </w:tcPr>
          <w:p w:rsidR="00504493" w:rsidRDefault="00504493" w:rsidP="00D837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型號：Su2</w:t>
            </w:r>
          </w:p>
        </w:tc>
        <w:tc>
          <w:tcPr>
            <w:tcW w:w="3402" w:type="dxa"/>
          </w:tcPr>
          <w:p w:rsidR="00504493" w:rsidRDefault="00504493" w:rsidP="00D837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粒徑(DV50)：41.7μm</w:t>
            </w:r>
          </w:p>
        </w:tc>
        <w:tc>
          <w:tcPr>
            <w:tcW w:w="2268" w:type="dxa"/>
          </w:tcPr>
          <w:p w:rsidR="00504493" w:rsidRDefault="00504493" w:rsidP="00D837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流量：</w:t>
            </w:r>
            <w:r>
              <w:rPr>
                <w:rFonts w:ascii="標楷體" w:eastAsia="標楷體" w:hAnsi="標楷體" w:hint="eastAsia"/>
              </w:rPr>
              <w:t>46.2</w:t>
            </w:r>
            <w:r>
              <w:rPr>
                <w:rFonts w:ascii="標楷體" w:eastAsia="標楷體" w:hAnsi="標楷體"/>
              </w:rPr>
              <w:t>±0.</w:t>
            </w: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ml</w:t>
            </w:r>
          </w:p>
        </w:tc>
        <w:tc>
          <w:tcPr>
            <w:tcW w:w="1984" w:type="dxa"/>
          </w:tcPr>
          <w:p w:rsidR="00504493" w:rsidRDefault="00504493" w:rsidP="00D837CE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施噴時間</w:t>
            </w:r>
            <w:proofErr w:type="gramEnd"/>
            <w:r>
              <w:rPr>
                <w:rFonts w:ascii="標楷體" w:eastAsia="標楷體" w:hAnsi="標楷體"/>
              </w:rPr>
              <w:t>：2</w:t>
            </w: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秒</w:t>
            </w:r>
          </w:p>
        </w:tc>
      </w:tr>
      <w:tr w:rsidR="00504493" w:rsidTr="00D837CE">
        <w:tc>
          <w:tcPr>
            <w:tcW w:w="4503" w:type="dxa"/>
          </w:tcPr>
          <w:p w:rsidR="00504493" w:rsidRDefault="00504493" w:rsidP="00D837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抽</w:t>
            </w:r>
            <w:proofErr w:type="gramStart"/>
            <w:r>
              <w:rPr>
                <w:rFonts w:ascii="標楷體" w:eastAsia="標楷體" w:hAnsi="標楷體" w:hint="eastAsia"/>
              </w:rPr>
              <w:t>測環藥</w:t>
            </w:r>
            <w:proofErr w:type="gramEnd"/>
            <w:r>
              <w:rPr>
                <w:rFonts w:ascii="標楷體" w:eastAsia="標楷體" w:hAnsi="標楷體" w:hint="eastAsia"/>
              </w:rPr>
              <w:t>名稱：</w:t>
            </w:r>
            <w:proofErr w:type="gramStart"/>
            <w:r>
              <w:rPr>
                <w:rFonts w:ascii="標楷體" w:eastAsia="標楷體" w:hAnsi="標楷體" w:hint="eastAsia"/>
                <w:u w:val="single"/>
              </w:rPr>
              <w:t>逸利寧</w:t>
            </w:r>
            <w:proofErr w:type="gramEnd"/>
            <w:r>
              <w:rPr>
                <w:rFonts w:ascii="標楷體" w:eastAsia="標楷體" w:hAnsi="標楷體" w:hint="eastAsia"/>
                <w:u w:val="single"/>
              </w:rPr>
              <w:t>乳劑</w:t>
            </w:r>
          </w:p>
        </w:tc>
        <w:tc>
          <w:tcPr>
            <w:tcW w:w="2268" w:type="dxa"/>
          </w:tcPr>
          <w:p w:rsidR="00504493" w:rsidRDefault="00504493" w:rsidP="00D837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劑型：</w:t>
            </w:r>
            <w:r>
              <w:rPr>
                <w:rFonts w:ascii="標楷體" w:eastAsia="標楷體" w:hAnsi="標楷體"/>
                <w:u w:val="single"/>
              </w:rPr>
              <w:t>乳劑</w:t>
            </w:r>
          </w:p>
        </w:tc>
        <w:tc>
          <w:tcPr>
            <w:tcW w:w="7654" w:type="dxa"/>
            <w:gridSpan w:val="3"/>
          </w:tcPr>
          <w:p w:rsidR="00504493" w:rsidRDefault="00504493" w:rsidP="00D837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有效成分：</w:t>
            </w:r>
            <w:proofErr w:type="spellStart"/>
            <w:r w:rsidRPr="008E22B6">
              <w:rPr>
                <w:rFonts w:ascii="標楷體" w:eastAsia="標楷體" w:hAnsi="標楷體" w:hint="eastAsia"/>
                <w:u w:val="single"/>
              </w:rPr>
              <w:t>Deltamethrin</w:t>
            </w:r>
            <w:proofErr w:type="spellEnd"/>
            <w:r>
              <w:rPr>
                <w:rFonts w:ascii="標楷體" w:eastAsia="標楷體" w:hAnsi="標楷體" w:hint="eastAsia"/>
                <w:u w:val="single"/>
              </w:rPr>
              <w:t xml:space="preserve"> 2.35% </w:t>
            </w:r>
            <w:r w:rsidRPr="00DB3B53">
              <w:rPr>
                <w:rFonts w:ascii="標楷體" w:eastAsia="標楷體" w:hAnsi="標楷體" w:hint="eastAsia"/>
                <w:u w:val="single"/>
              </w:rPr>
              <w:t>w/w</w:t>
            </w:r>
          </w:p>
        </w:tc>
      </w:tr>
      <w:tr w:rsidR="00504493" w:rsidTr="00D837CE">
        <w:tc>
          <w:tcPr>
            <w:tcW w:w="4503" w:type="dxa"/>
          </w:tcPr>
          <w:p w:rsidR="00504493" w:rsidRDefault="00504493" w:rsidP="00D837CE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504493" w:rsidRDefault="00504493" w:rsidP="00D837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使用劑量：1ml/m</w:t>
            </w:r>
            <w:r>
              <w:rPr>
                <w:rFonts w:ascii="標楷體" w:eastAsia="標楷體" w:hAnsi="標楷體" w:hint="eastAsia"/>
                <w:vertAlign w:val="superscript"/>
              </w:rPr>
              <w:t>3</w:t>
            </w:r>
          </w:p>
        </w:tc>
        <w:tc>
          <w:tcPr>
            <w:tcW w:w="3402" w:type="dxa"/>
          </w:tcPr>
          <w:p w:rsidR="00504493" w:rsidRDefault="00504493" w:rsidP="00D837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使用方法：稀釋</w:t>
            </w:r>
            <w:r>
              <w:rPr>
                <w:rFonts w:ascii="標楷體" w:eastAsia="標楷體" w:hAnsi="標楷體" w:hint="eastAsia"/>
                <w:u w:val="single"/>
              </w:rPr>
              <w:t>600</w:t>
            </w:r>
            <w:r>
              <w:rPr>
                <w:rFonts w:ascii="標楷體" w:eastAsia="標楷體" w:hAnsi="標楷體" w:hint="eastAsia"/>
              </w:rPr>
              <w:t>倍</w:t>
            </w:r>
          </w:p>
        </w:tc>
        <w:tc>
          <w:tcPr>
            <w:tcW w:w="2268" w:type="dxa"/>
          </w:tcPr>
          <w:p w:rsidR="00504493" w:rsidRDefault="00504493" w:rsidP="00D837CE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504493" w:rsidRDefault="00504493" w:rsidP="00D837CE">
            <w:pPr>
              <w:rPr>
                <w:rFonts w:ascii="標楷體" w:eastAsia="標楷體" w:hAnsi="標楷體"/>
              </w:rPr>
            </w:pPr>
          </w:p>
        </w:tc>
      </w:tr>
    </w:tbl>
    <w:p w:rsidR="00504493" w:rsidRDefault="00504493" w:rsidP="00504493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試驗地點：</w:t>
      </w:r>
      <w:proofErr w:type="gramStart"/>
      <w:r>
        <w:rPr>
          <w:rFonts w:ascii="標楷體" w:eastAsia="標楷體" w:hAnsi="標楷體" w:hint="eastAsia"/>
        </w:rPr>
        <w:t>研</w:t>
      </w:r>
      <w:proofErr w:type="gramEnd"/>
      <w:r>
        <w:rPr>
          <w:rFonts w:ascii="標楷體" w:eastAsia="標楷體" w:hAnsi="標楷體" w:hint="eastAsia"/>
        </w:rPr>
        <w:t>檢中心林森實驗室</w:t>
      </w:r>
    </w:p>
    <w:tbl>
      <w:tblPr>
        <w:tblpPr w:leftFromText="180" w:rightFromText="180" w:vertAnchor="page" w:horzAnchor="margin" w:tblpY="5069"/>
        <w:tblW w:w="0" w:type="auto"/>
        <w:tblLook w:val="04A0" w:firstRow="1" w:lastRow="0" w:firstColumn="1" w:lastColumn="0" w:noHBand="0" w:noVBand="1"/>
      </w:tblPr>
      <w:tblGrid>
        <w:gridCol w:w="2093"/>
        <w:gridCol w:w="2980"/>
        <w:gridCol w:w="2980"/>
        <w:gridCol w:w="2980"/>
        <w:gridCol w:w="2981"/>
      </w:tblGrid>
      <w:tr w:rsidR="00504493" w:rsidTr="00F44EDC">
        <w:tc>
          <w:tcPr>
            <w:tcW w:w="2093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504493" w:rsidRDefault="00504493" w:rsidP="00D837CE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環藥名稱</w:t>
            </w:r>
            <w:proofErr w:type="gramEnd"/>
          </w:p>
        </w:tc>
        <w:tc>
          <w:tcPr>
            <w:tcW w:w="2980" w:type="dxa"/>
            <w:tcBorders>
              <w:top w:val="single" w:sz="18" w:space="0" w:color="auto"/>
              <w:bottom w:val="single" w:sz="18" w:space="0" w:color="auto"/>
            </w:tcBorders>
          </w:tcPr>
          <w:p w:rsidR="00504493" w:rsidRDefault="00504493" w:rsidP="00D837C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稀釋倍數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×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980" w:type="dxa"/>
            <w:tcBorders>
              <w:top w:val="single" w:sz="18" w:space="0" w:color="auto"/>
              <w:bottom w:val="single" w:sz="18" w:space="0" w:color="auto"/>
            </w:tcBorders>
          </w:tcPr>
          <w:p w:rsidR="00504493" w:rsidRDefault="00504493" w:rsidP="00D837C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濃度</w:t>
            </w:r>
            <w:r>
              <w:rPr>
                <w:rFonts w:eastAsia="標楷體" w:hint="eastAsia"/>
              </w:rPr>
              <w:t>(v/v%)</w:t>
            </w:r>
          </w:p>
        </w:tc>
        <w:tc>
          <w:tcPr>
            <w:tcW w:w="2980" w:type="dxa"/>
            <w:tcBorders>
              <w:top w:val="single" w:sz="18" w:space="0" w:color="auto"/>
              <w:bottom w:val="single" w:sz="18" w:space="0" w:color="auto"/>
            </w:tcBorders>
          </w:tcPr>
          <w:p w:rsidR="00504493" w:rsidRDefault="00504493" w:rsidP="00D837C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分鐘</w:t>
            </w:r>
            <w:proofErr w:type="gramStart"/>
            <w:r>
              <w:rPr>
                <w:rFonts w:eastAsia="標楷體" w:hint="eastAsia"/>
              </w:rPr>
              <w:t>擊昏率</w:t>
            </w:r>
            <w:proofErr w:type="gramEnd"/>
            <w:r>
              <w:rPr>
                <w:rFonts w:eastAsia="標楷體" w:hint="eastAsia"/>
              </w:rPr>
              <w:t>(%)</w:t>
            </w:r>
          </w:p>
        </w:tc>
        <w:tc>
          <w:tcPr>
            <w:tcW w:w="2981" w:type="dxa"/>
            <w:tcBorders>
              <w:top w:val="single" w:sz="18" w:space="0" w:color="auto"/>
              <w:bottom w:val="single" w:sz="18" w:space="0" w:color="auto"/>
            </w:tcBorders>
          </w:tcPr>
          <w:p w:rsidR="00504493" w:rsidRDefault="00504493" w:rsidP="00D837C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24</w:t>
            </w:r>
            <w:r>
              <w:rPr>
                <w:rFonts w:eastAsia="標楷體" w:hint="eastAsia"/>
              </w:rPr>
              <w:t>小時死亡率</w:t>
            </w:r>
            <w:r>
              <w:rPr>
                <w:rFonts w:eastAsia="標楷體" w:hint="eastAsia"/>
              </w:rPr>
              <w:t>(%)</w:t>
            </w:r>
          </w:p>
        </w:tc>
      </w:tr>
      <w:tr w:rsidR="00504493" w:rsidTr="00F44EDC">
        <w:trPr>
          <w:cantSplit/>
        </w:trPr>
        <w:tc>
          <w:tcPr>
            <w:tcW w:w="2093" w:type="dxa"/>
            <w:vMerge w:val="restart"/>
            <w:tcBorders>
              <w:top w:val="single" w:sz="18" w:space="0" w:color="auto"/>
            </w:tcBorders>
            <w:vAlign w:val="center"/>
          </w:tcPr>
          <w:p w:rsidR="00504493" w:rsidRDefault="00504493" w:rsidP="00D837CE">
            <w:pPr>
              <w:jc w:val="center"/>
              <w:rPr>
                <w:rFonts w:eastAsia="標楷體"/>
              </w:rPr>
            </w:pPr>
            <w:proofErr w:type="gramStart"/>
            <w:r w:rsidRPr="008E22B6">
              <w:rPr>
                <w:rFonts w:ascii="標楷體" w:eastAsia="標楷體" w:hAnsi="標楷體" w:hint="eastAsia"/>
              </w:rPr>
              <w:t>逸利寧</w:t>
            </w:r>
            <w:proofErr w:type="gramEnd"/>
            <w:r>
              <w:rPr>
                <w:rFonts w:ascii="標楷體" w:eastAsia="標楷體" w:hAnsi="標楷體" w:hint="eastAsia"/>
              </w:rPr>
              <w:t>乳劑</w:t>
            </w:r>
          </w:p>
        </w:tc>
        <w:tc>
          <w:tcPr>
            <w:tcW w:w="2980" w:type="dxa"/>
            <w:tcBorders>
              <w:top w:val="single" w:sz="18" w:space="0" w:color="auto"/>
            </w:tcBorders>
            <w:vAlign w:val="center"/>
          </w:tcPr>
          <w:p w:rsidR="00504493" w:rsidRDefault="00504493" w:rsidP="00D837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200000</w:t>
            </w:r>
          </w:p>
        </w:tc>
        <w:tc>
          <w:tcPr>
            <w:tcW w:w="2980" w:type="dxa"/>
            <w:tcBorders>
              <w:top w:val="single" w:sz="18" w:space="0" w:color="auto"/>
            </w:tcBorders>
          </w:tcPr>
          <w:p w:rsidR="00504493" w:rsidRDefault="00504493" w:rsidP="00D837C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5.0</w:t>
            </w:r>
            <w:r>
              <w:rPr>
                <w:rFonts w:eastAsia="標楷體" w:hAnsi="標楷體"/>
              </w:rPr>
              <w:t>×</w:t>
            </w:r>
            <w:r>
              <w:rPr>
                <w:rFonts w:eastAsia="標楷體" w:hAnsi="標楷體" w:hint="eastAsia"/>
              </w:rPr>
              <w:t>10</w:t>
            </w:r>
            <w:r>
              <w:rPr>
                <w:rFonts w:eastAsia="標楷體" w:hAnsi="標楷體" w:hint="eastAsia"/>
                <w:vertAlign w:val="superscript"/>
              </w:rPr>
              <w:t>-6</w:t>
            </w:r>
          </w:p>
        </w:tc>
        <w:tc>
          <w:tcPr>
            <w:tcW w:w="2980" w:type="dxa"/>
            <w:tcBorders>
              <w:top w:val="single" w:sz="18" w:space="0" w:color="auto"/>
            </w:tcBorders>
            <w:vAlign w:val="center"/>
          </w:tcPr>
          <w:p w:rsidR="00504493" w:rsidRDefault="00504493" w:rsidP="00D837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981" w:type="dxa"/>
            <w:tcBorders>
              <w:top w:val="single" w:sz="18" w:space="0" w:color="auto"/>
            </w:tcBorders>
            <w:vAlign w:val="center"/>
          </w:tcPr>
          <w:p w:rsidR="00504493" w:rsidRDefault="00504493" w:rsidP="00D837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12.5</w:t>
            </w:r>
          </w:p>
        </w:tc>
      </w:tr>
      <w:tr w:rsidR="00504493" w:rsidTr="00D837CE">
        <w:trPr>
          <w:cantSplit/>
        </w:trPr>
        <w:tc>
          <w:tcPr>
            <w:tcW w:w="2093" w:type="dxa"/>
            <w:vMerge/>
          </w:tcPr>
          <w:p w:rsidR="00504493" w:rsidRDefault="00504493" w:rsidP="00D837CE">
            <w:pPr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504493" w:rsidRDefault="00504493" w:rsidP="00D83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</w:t>
            </w:r>
          </w:p>
        </w:tc>
        <w:tc>
          <w:tcPr>
            <w:tcW w:w="2980" w:type="dxa"/>
          </w:tcPr>
          <w:p w:rsidR="00504493" w:rsidRDefault="00504493" w:rsidP="00D837C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2.0</w:t>
            </w:r>
            <w:r>
              <w:rPr>
                <w:rFonts w:eastAsia="標楷體" w:hAnsi="標楷體"/>
              </w:rPr>
              <w:t>×</w:t>
            </w:r>
            <w:r>
              <w:rPr>
                <w:rFonts w:eastAsia="標楷體" w:hAnsi="標楷體" w:hint="eastAsia"/>
              </w:rPr>
              <w:t>10</w:t>
            </w:r>
            <w:r>
              <w:rPr>
                <w:rFonts w:eastAsia="標楷體" w:hAnsi="標楷體" w:hint="eastAsia"/>
                <w:vertAlign w:val="superscript"/>
              </w:rPr>
              <w:t>-5</w:t>
            </w:r>
          </w:p>
        </w:tc>
        <w:tc>
          <w:tcPr>
            <w:tcW w:w="2980" w:type="dxa"/>
            <w:vAlign w:val="center"/>
          </w:tcPr>
          <w:p w:rsidR="00504493" w:rsidRDefault="00504493" w:rsidP="00D837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2.5</w:t>
            </w:r>
          </w:p>
        </w:tc>
        <w:tc>
          <w:tcPr>
            <w:tcW w:w="2981" w:type="dxa"/>
            <w:vAlign w:val="center"/>
          </w:tcPr>
          <w:p w:rsidR="00504493" w:rsidRDefault="00504493" w:rsidP="00D837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38.8</w:t>
            </w:r>
          </w:p>
        </w:tc>
      </w:tr>
      <w:tr w:rsidR="00504493" w:rsidTr="00D837CE">
        <w:trPr>
          <w:cantSplit/>
        </w:trPr>
        <w:tc>
          <w:tcPr>
            <w:tcW w:w="2093" w:type="dxa"/>
            <w:vMerge/>
          </w:tcPr>
          <w:p w:rsidR="00504493" w:rsidRDefault="00504493" w:rsidP="00D837CE">
            <w:pPr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504493" w:rsidRDefault="00504493" w:rsidP="00D83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5000 </w:t>
            </w:r>
          </w:p>
        </w:tc>
        <w:tc>
          <w:tcPr>
            <w:tcW w:w="2980" w:type="dxa"/>
          </w:tcPr>
          <w:p w:rsidR="00504493" w:rsidRDefault="00504493" w:rsidP="00D837C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2.0</w:t>
            </w:r>
            <w:r>
              <w:rPr>
                <w:rFonts w:eastAsia="標楷體" w:hAnsi="標楷體"/>
              </w:rPr>
              <w:t>×</w:t>
            </w:r>
            <w:r>
              <w:rPr>
                <w:rFonts w:eastAsia="標楷體" w:hAnsi="標楷體" w:hint="eastAsia"/>
              </w:rPr>
              <w:t>10</w:t>
            </w:r>
            <w:r>
              <w:rPr>
                <w:rFonts w:eastAsia="標楷體" w:hAnsi="標楷體" w:hint="eastAsia"/>
                <w:vertAlign w:val="superscript"/>
              </w:rPr>
              <w:t>-4</w:t>
            </w:r>
          </w:p>
        </w:tc>
        <w:tc>
          <w:tcPr>
            <w:tcW w:w="2980" w:type="dxa"/>
            <w:vAlign w:val="center"/>
          </w:tcPr>
          <w:p w:rsidR="00504493" w:rsidRDefault="00504493" w:rsidP="00D837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2.5</w:t>
            </w:r>
          </w:p>
        </w:tc>
        <w:tc>
          <w:tcPr>
            <w:tcW w:w="2981" w:type="dxa"/>
            <w:vAlign w:val="center"/>
          </w:tcPr>
          <w:p w:rsidR="00504493" w:rsidRDefault="00504493" w:rsidP="00D837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82.5</w:t>
            </w:r>
          </w:p>
        </w:tc>
      </w:tr>
      <w:tr w:rsidR="00504493" w:rsidTr="00D837CE">
        <w:trPr>
          <w:cantSplit/>
        </w:trPr>
        <w:tc>
          <w:tcPr>
            <w:tcW w:w="2093" w:type="dxa"/>
            <w:vMerge/>
          </w:tcPr>
          <w:p w:rsidR="00504493" w:rsidRDefault="00504493" w:rsidP="00D837CE">
            <w:pPr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504493" w:rsidRDefault="00504493" w:rsidP="00D83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980" w:type="dxa"/>
          </w:tcPr>
          <w:p w:rsidR="00504493" w:rsidRDefault="00504493" w:rsidP="00D837C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1.0.</w:t>
            </w:r>
            <w:r>
              <w:rPr>
                <w:rFonts w:eastAsia="標楷體" w:hAnsi="標楷體"/>
              </w:rPr>
              <w:t>×</w:t>
            </w:r>
            <w:r>
              <w:rPr>
                <w:rFonts w:eastAsia="標楷體" w:hAnsi="標楷體" w:hint="eastAsia"/>
              </w:rPr>
              <w:t>10</w:t>
            </w:r>
            <w:r>
              <w:rPr>
                <w:rFonts w:eastAsia="標楷體" w:hAnsi="標楷體" w:hint="eastAsia"/>
                <w:vertAlign w:val="superscript"/>
              </w:rPr>
              <w:t>-3</w:t>
            </w:r>
          </w:p>
        </w:tc>
        <w:tc>
          <w:tcPr>
            <w:tcW w:w="2980" w:type="dxa"/>
            <w:vAlign w:val="center"/>
          </w:tcPr>
          <w:p w:rsidR="00504493" w:rsidRDefault="00504493" w:rsidP="00D837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25.0</w:t>
            </w:r>
          </w:p>
        </w:tc>
        <w:tc>
          <w:tcPr>
            <w:tcW w:w="2981" w:type="dxa"/>
            <w:vAlign w:val="center"/>
          </w:tcPr>
          <w:p w:rsidR="00504493" w:rsidRDefault="00504493" w:rsidP="00D837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91.3</w:t>
            </w:r>
          </w:p>
        </w:tc>
      </w:tr>
      <w:tr w:rsidR="00504493" w:rsidTr="00D837CE">
        <w:trPr>
          <w:cantSplit/>
        </w:trPr>
        <w:tc>
          <w:tcPr>
            <w:tcW w:w="2093" w:type="dxa"/>
            <w:vMerge/>
          </w:tcPr>
          <w:p w:rsidR="00504493" w:rsidRDefault="00504493" w:rsidP="00D837CE">
            <w:pPr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504493" w:rsidRDefault="00504493" w:rsidP="00D83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980" w:type="dxa"/>
          </w:tcPr>
          <w:p w:rsidR="00504493" w:rsidRDefault="00504493" w:rsidP="00D837C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2.0</w:t>
            </w:r>
            <w:r>
              <w:rPr>
                <w:rFonts w:eastAsia="標楷體" w:hAnsi="標楷體"/>
              </w:rPr>
              <w:t>×</w:t>
            </w:r>
            <w:r>
              <w:rPr>
                <w:rFonts w:eastAsia="標楷體" w:hAnsi="標楷體" w:hint="eastAsia"/>
              </w:rPr>
              <w:t>10</w:t>
            </w:r>
            <w:r>
              <w:rPr>
                <w:rFonts w:eastAsia="標楷體" w:hAnsi="標楷體" w:hint="eastAsia"/>
                <w:vertAlign w:val="superscript"/>
              </w:rPr>
              <w:t>-3</w:t>
            </w:r>
          </w:p>
        </w:tc>
        <w:tc>
          <w:tcPr>
            <w:tcW w:w="2980" w:type="dxa"/>
            <w:vAlign w:val="center"/>
          </w:tcPr>
          <w:p w:rsidR="00504493" w:rsidRDefault="00504493" w:rsidP="00D837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48.8</w:t>
            </w:r>
          </w:p>
        </w:tc>
        <w:tc>
          <w:tcPr>
            <w:tcW w:w="2981" w:type="dxa"/>
            <w:vAlign w:val="center"/>
          </w:tcPr>
          <w:p w:rsidR="00504493" w:rsidRDefault="00504493" w:rsidP="00D837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97.5</w:t>
            </w:r>
          </w:p>
        </w:tc>
      </w:tr>
      <w:tr w:rsidR="00504493" w:rsidTr="00F44EDC">
        <w:trPr>
          <w:cantSplit/>
        </w:trPr>
        <w:tc>
          <w:tcPr>
            <w:tcW w:w="2093" w:type="dxa"/>
            <w:vMerge/>
            <w:tcBorders>
              <w:bottom w:val="single" w:sz="18" w:space="0" w:color="auto"/>
            </w:tcBorders>
          </w:tcPr>
          <w:p w:rsidR="00504493" w:rsidRDefault="00504493" w:rsidP="00D837CE">
            <w:pPr>
              <w:rPr>
                <w:rFonts w:eastAsia="標楷體"/>
              </w:rPr>
            </w:pPr>
          </w:p>
        </w:tc>
        <w:tc>
          <w:tcPr>
            <w:tcW w:w="2980" w:type="dxa"/>
            <w:tcBorders>
              <w:bottom w:val="single" w:sz="18" w:space="0" w:color="auto"/>
            </w:tcBorders>
            <w:vAlign w:val="center"/>
          </w:tcPr>
          <w:p w:rsidR="00504493" w:rsidRDefault="00504493" w:rsidP="00D83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980" w:type="dxa"/>
            <w:tcBorders>
              <w:bottom w:val="single" w:sz="18" w:space="0" w:color="auto"/>
            </w:tcBorders>
          </w:tcPr>
          <w:p w:rsidR="00504493" w:rsidRDefault="00504493" w:rsidP="00D837C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4.0</w:t>
            </w:r>
            <w:r>
              <w:rPr>
                <w:rFonts w:eastAsia="標楷體" w:hAnsi="標楷體"/>
              </w:rPr>
              <w:t>×</w:t>
            </w:r>
            <w:r>
              <w:rPr>
                <w:rFonts w:eastAsia="標楷體" w:hAnsi="標楷體" w:hint="eastAsia"/>
              </w:rPr>
              <w:t>10</w:t>
            </w:r>
            <w:r>
              <w:rPr>
                <w:rFonts w:eastAsia="標楷體" w:hAnsi="標楷體" w:hint="eastAsia"/>
                <w:vertAlign w:val="superscript"/>
              </w:rPr>
              <w:t>-3</w:t>
            </w:r>
          </w:p>
        </w:tc>
        <w:tc>
          <w:tcPr>
            <w:tcW w:w="2980" w:type="dxa"/>
            <w:tcBorders>
              <w:bottom w:val="single" w:sz="18" w:space="0" w:color="auto"/>
            </w:tcBorders>
            <w:vAlign w:val="center"/>
          </w:tcPr>
          <w:p w:rsidR="00504493" w:rsidRDefault="00504493" w:rsidP="00D837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57.5</w:t>
            </w:r>
          </w:p>
        </w:tc>
        <w:tc>
          <w:tcPr>
            <w:tcW w:w="2981" w:type="dxa"/>
            <w:tcBorders>
              <w:bottom w:val="single" w:sz="18" w:space="0" w:color="auto"/>
            </w:tcBorders>
            <w:vAlign w:val="center"/>
          </w:tcPr>
          <w:p w:rsidR="00504493" w:rsidRDefault="00504493" w:rsidP="00D837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100.0</w:t>
            </w:r>
          </w:p>
        </w:tc>
      </w:tr>
    </w:tbl>
    <w:p w:rsidR="00504493" w:rsidRDefault="00504493" w:rsidP="00504493">
      <w:pPr>
        <w:rPr>
          <w:rFonts w:eastAsia="標楷體"/>
        </w:rPr>
      </w:pPr>
      <w:r>
        <w:rPr>
          <w:rFonts w:eastAsia="標楷體" w:hint="eastAsia"/>
        </w:rPr>
        <w:t>結果：</w:t>
      </w:r>
    </w:p>
    <w:p w:rsidR="00504493" w:rsidRPr="00AE649B" w:rsidRDefault="00504493" w:rsidP="00504493">
      <w:pPr>
        <w:pStyle w:val="a3"/>
        <w:spacing w:beforeLines="50" w:before="180"/>
        <w:ind w:leftChars="0" w:left="357"/>
        <w:rPr>
          <w:rFonts w:ascii="Times New Roman" w:eastAsia="標楷體" w:hAnsi="標楷體"/>
        </w:rPr>
      </w:pPr>
      <w:r w:rsidRPr="00AE649B">
        <w:rPr>
          <w:rFonts w:ascii="Times New Roman" w:eastAsia="標楷體" w:hAnsi="Times New Roman" w:hint="eastAsia"/>
          <w:szCs w:val="24"/>
        </w:rPr>
        <w:t>KC</w:t>
      </w:r>
      <w:r w:rsidRPr="00AE649B">
        <w:rPr>
          <w:rFonts w:ascii="Times New Roman" w:eastAsia="標楷體" w:hAnsi="Times New Roman" w:hint="eastAsia"/>
          <w:szCs w:val="24"/>
          <w:vertAlign w:val="subscript"/>
        </w:rPr>
        <w:t>50</w:t>
      </w:r>
      <w:r w:rsidRPr="00AE649B">
        <w:rPr>
          <w:rFonts w:ascii="Times New Roman" w:eastAsia="標楷體" w:hAnsi="Times New Roman" w:hint="eastAsia"/>
          <w:szCs w:val="24"/>
        </w:rPr>
        <w:t>(</w:t>
      </w:r>
      <w:r w:rsidRPr="00AE649B">
        <w:rPr>
          <w:rFonts w:ascii="Times New Roman" w:eastAsia="標楷體" w:hAnsi="Times New Roman" w:hint="eastAsia"/>
          <w:szCs w:val="24"/>
        </w:rPr>
        <w:t>半數擊昏濃度</w:t>
      </w:r>
      <w:r w:rsidRPr="00AE649B">
        <w:rPr>
          <w:rFonts w:ascii="Times New Roman" w:eastAsia="標楷體" w:hAnsi="Times New Roman" w:hint="eastAsia"/>
          <w:szCs w:val="24"/>
        </w:rPr>
        <w:t>)=2.8</w:t>
      </w:r>
      <w:r w:rsidRPr="00AE649B">
        <w:rPr>
          <w:rFonts w:ascii="Times New Roman" w:eastAsia="標楷體" w:hAnsi="Times New Roman"/>
        </w:rPr>
        <w:t>×10</w:t>
      </w:r>
      <w:r w:rsidRPr="00AE649B">
        <w:rPr>
          <w:rFonts w:ascii="Times New Roman" w:eastAsia="標楷體" w:hAnsi="Times New Roman"/>
          <w:vertAlign w:val="superscript"/>
        </w:rPr>
        <w:t>-</w:t>
      </w:r>
      <w:r w:rsidRPr="00AE649B">
        <w:rPr>
          <w:rFonts w:ascii="Times New Roman" w:eastAsia="標楷體" w:hAnsi="Times New Roman" w:hint="eastAsia"/>
          <w:vertAlign w:val="superscript"/>
        </w:rPr>
        <w:t>3</w:t>
      </w:r>
      <w:r w:rsidRPr="00AE649B">
        <w:rPr>
          <w:rFonts w:ascii="Times New Roman" w:eastAsia="標楷體" w:hAnsi="Times New Roman"/>
        </w:rPr>
        <w:t>(v/v%)</w:t>
      </w:r>
      <w:proofErr w:type="gramStart"/>
      <w:r w:rsidRPr="00AE649B">
        <w:rPr>
          <w:rFonts w:ascii="Times New Roman" w:eastAsia="標楷體" w:hAnsi="Times New Roman" w:hint="eastAsia"/>
        </w:rPr>
        <w:t>≒</w:t>
      </w:r>
      <w:proofErr w:type="gramEnd"/>
      <w:r w:rsidRPr="00AE649B">
        <w:rPr>
          <w:rFonts w:ascii="Times New Roman" w:eastAsia="標楷體" w:hAnsi="標楷體"/>
        </w:rPr>
        <w:t>稀釋</w:t>
      </w:r>
      <w:r w:rsidRPr="00AE649B">
        <w:rPr>
          <w:rFonts w:ascii="Times New Roman" w:eastAsia="標楷體" w:hAnsi="標楷體" w:hint="eastAsia"/>
        </w:rPr>
        <w:t>351.9</w:t>
      </w:r>
      <w:r w:rsidRPr="00AE649B">
        <w:rPr>
          <w:rFonts w:ascii="Times New Roman" w:eastAsia="標楷體" w:hAnsi="標楷體" w:hint="eastAsia"/>
        </w:rPr>
        <w:t>倍</w:t>
      </w:r>
    </w:p>
    <w:p w:rsidR="00504493" w:rsidRPr="00AE649B" w:rsidRDefault="00504493" w:rsidP="00504493">
      <w:pPr>
        <w:pStyle w:val="a3"/>
        <w:ind w:leftChars="0" w:left="360"/>
        <w:rPr>
          <w:rFonts w:ascii="Times New Roman" w:eastAsia="標楷體" w:hAnsi="Times New Roman"/>
        </w:rPr>
      </w:pPr>
      <w:r w:rsidRPr="00AE649B">
        <w:rPr>
          <w:rFonts w:ascii="Times New Roman" w:eastAsia="標楷體" w:hAnsi="Times New Roman"/>
        </w:rPr>
        <w:t>LC</w:t>
      </w:r>
      <w:r w:rsidRPr="00AE649B">
        <w:rPr>
          <w:rFonts w:ascii="Times New Roman" w:eastAsia="標楷體" w:hAnsi="Times New Roman"/>
          <w:vertAlign w:val="subscript"/>
        </w:rPr>
        <w:t>50</w:t>
      </w:r>
      <w:r w:rsidRPr="00AE649B">
        <w:rPr>
          <w:rFonts w:ascii="Times New Roman" w:eastAsia="標楷體" w:hAnsi="Times New Roman" w:hint="eastAsia"/>
          <w:szCs w:val="24"/>
        </w:rPr>
        <w:t>(</w:t>
      </w:r>
      <w:r w:rsidRPr="00AE649B">
        <w:rPr>
          <w:rFonts w:ascii="Times New Roman" w:eastAsia="標楷體" w:hAnsi="Times New Roman" w:hint="eastAsia"/>
          <w:szCs w:val="24"/>
        </w:rPr>
        <w:t>半數致死濃度</w:t>
      </w:r>
      <w:r w:rsidRPr="00AE649B">
        <w:rPr>
          <w:rFonts w:ascii="Times New Roman" w:eastAsia="標楷體" w:hAnsi="Times New Roman" w:hint="eastAsia"/>
          <w:szCs w:val="24"/>
        </w:rPr>
        <w:t>)</w:t>
      </w:r>
      <w:r w:rsidRPr="00AE649B">
        <w:rPr>
          <w:rFonts w:ascii="Times New Roman" w:eastAsia="標楷體" w:hAnsi="標楷體" w:hint="eastAsia"/>
        </w:rPr>
        <w:t>=4.0</w:t>
      </w:r>
      <w:r w:rsidRPr="00AE649B">
        <w:rPr>
          <w:rFonts w:ascii="Times New Roman" w:eastAsia="標楷體" w:hAnsi="Times New Roman"/>
        </w:rPr>
        <w:t>×10</w:t>
      </w:r>
      <w:r w:rsidRPr="00AE649B">
        <w:rPr>
          <w:rFonts w:ascii="Times New Roman" w:eastAsia="標楷體" w:hAnsi="Times New Roman"/>
          <w:vertAlign w:val="superscript"/>
        </w:rPr>
        <w:t>-</w:t>
      </w:r>
      <w:r w:rsidRPr="00AE649B">
        <w:rPr>
          <w:rFonts w:ascii="Times New Roman" w:eastAsia="標楷體" w:hAnsi="Times New Roman" w:hint="eastAsia"/>
          <w:vertAlign w:val="superscript"/>
        </w:rPr>
        <w:t>5</w:t>
      </w:r>
      <w:r w:rsidRPr="00AE649B">
        <w:rPr>
          <w:rFonts w:ascii="Times New Roman" w:eastAsia="標楷體" w:hAnsi="Times New Roman"/>
        </w:rPr>
        <w:t>v/v%)</w:t>
      </w:r>
      <w:proofErr w:type="gramStart"/>
      <w:r w:rsidRPr="00AE649B">
        <w:rPr>
          <w:rFonts w:ascii="Times New Roman" w:eastAsia="標楷體" w:hAnsi="Times New Roman" w:hint="eastAsia"/>
        </w:rPr>
        <w:t>≒</w:t>
      </w:r>
      <w:proofErr w:type="gramEnd"/>
      <w:r w:rsidRPr="00AE649B">
        <w:rPr>
          <w:rFonts w:ascii="Times New Roman" w:eastAsia="標楷體" w:hAnsi="標楷體"/>
        </w:rPr>
        <w:t>稀釋</w:t>
      </w:r>
      <w:r w:rsidRPr="00AE649B">
        <w:rPr>
          <w:rFonts w:ascii="Times New Roman" w:eastAsia="標楷體" w:hAnsi="標楷體" w:hint="eastAsia"/>
        </w:rPr>
        <w:t>25087.</w:t>
      </w:r>
      <w:r>
        <w:rPr>
          <w:rFonts w:ascii="Times New Roman" w:eastAsia="標楷體" w:hAnsi="標楷體" w:hint="eastAsia"/>
        </w:rPr>
        <w:t>8</w:t>
      </w:r>
      <w:r w:rsidRPr="00AE649B">
        <w:rPr>
          <w:rFonts w:ascii="Times New Roman" w:eastAsia="標楷體" w:hAnsi="標楷體"/>
        </w:rPr>
        <w:t>倍。</w:t>
      </w:r>
    </w:p>
    <w:p w:rsidR="00504493" w:rsidRPr="00AE649B" w:rsidRDefault="00504493" w:rsidP="00504493">
      <w:pPr>
        <w:pStyle w:val="a3"/>
        <w:ind w:leftChars="0" w:left="360"/>
        <w:rPr>
          <w:rFonts w:ascii="Times New Roman" w:eastAsia="標楷體" w:hAnsi="標楷體"/>
        </w:rPr>
      </w:pPr>
      <w:r w:rsidRPr="00AE649B">
        <w:rPr>
          <w:rFonts w:ascii="Times New Roman" w:eastAsia="標楷體" w:hAnsi="Times New Roman"/>
          <w:szCs w:val="24"/>
        </w:rPr>
        <w:t>LC</w:t>
      </w:r>
      <w:r w:rsidRPr="00AE649B">
        <w:rPr>
          <w:rFonts w:ascii="Times New Roman" w:eastAsia="標楷體" w:hAnsi="Times New Roman"/>
          <w:szCs w:val="24"/>
          <w:vertAlign w:val="subscript"/>
        </w:rPr>
        <w:t>99</w:t>
      </w:r>
      <w:r w:rsidRPr="00AE649B">
        <w:rPr>
          <w:rFonts w:ascii="Times New Roman" w:eastAsia="標楷體" w:hAnsi="Times New Roman" w:hint="eastAsia"/>
          <w:szCs w:val="24"/>
        </w:rPr>
        <w:t>(</w:t>
      </w:r>
      <w:r w:rsidRPr="00AE649B">
        <w:rPr>
          <w:rFonts w:ascii="Times New Roman" w:eastAsia="標楷體" w:hAnsi="Times New Roman" w:hint="eastAsia"/>
          <w:szCs w:val="24"/>
        </w:rPr>
        <w:t>致死率達</w:t>
      </w:r>
      <w:r w:rsidRPr="00AE649B">
        <w:rPr>
          <w:rFonts w:ascii="Times New Roman" w:eastAsia="標楷體" w:hAnsi="Times New Roman" w:hint="eastAsia"/>
          <w:szCs w:val="24"/>
        </w:rPr>
        <w:t>99%</w:t>
      </w:r>
      <w:r w:rsidRPr="00AE649B">
        <w:rPr>
          <w:rFonts w:ascii="Times New Roman" w:eastAsia="標楷體" w:hAnsi="Times New Roman" w:hint="eastAsia"/>
          <w:szCs w:val="24"/>
        </w:rPr>
        <w:t>的濃度</w:t>
      </w:r>
      <w:r w:rsidRPr="00AE649B">
        <w:rPr>
          <w:rFonts w:ascii="Times New Roman" w:eastAsia="標楷體" w:hAnsi="Times New Roman" w:hint="eastAsia"/>
          <w:szCs w:val="24"/>
        </w:rPr>
        <w:t>)</w:t>
      </w:r>
      <w:r w:rsidRPr="00AE649B">
        <w:rPr>
          <w:rFonts w:ascii="Times New Roman" w:eastAsia="標楷體" w:hAnsi="標楷體" w:hint="eastAsia"/>
          <w:szCs w:val="24"/>
        </w:rPr>
        <w:t>=</w:t>
      </w:r>
      <w:r>
        <w:rPr>
          <w:rFonts w:ascii="Times New Roman" w:eastAsia="標楷體" w:hAnsi="標楷體" w:hint="eastAsia"/>
          <w:szCs w:val="24"/>
        </w:rPr>
        <w:t>3.9</w:t>
      </w:r>
      <w:r w:rsidRPr="00AE649B">
        <w:rPr>
          <w:rFonts w:ascii="Times New Roman" w:eastAsia="標楷體" w:hAnsi="Times New Roman"/>
        </w:rPr>
        <w:t>×10</w:t>
      </w:r>
      <w:r w:rsidRPr="00AE649B">
        <w:rPr>
          <w:rFonts w:ascii="Times New Roman" w:eastAsia="標楷體" w:hAnsi="Times New Roman"/>
          <w:vertAlign w:val="superscript"/>
        </w:rPr>
        <w:t>-</w:t>
      </w:r>
      <w:r w:rsidRPr="00AE649B">
        <w:rPr>
          <w:rFonts w:ascii="Times New Roman" w:eastAsia="標楷體" w:hAnsi="Times New Roman" w:hint="eastAsia"/>
          <w:vertAlign w:val="superscript"/>
        </w:rPr>
        <w:t>3</w:t>
      </w:r>
      <w:r w:rsidRPr="00AE649B">
        <w:rPr>
          <w:rFonts w:ascii="Times New Roman" w:eastAsia="標楷體" w:hAnsi="Times New Roman"/>
        </w:rPr>
        <w:t>(v/v%)</w:t>
      </w:r>
      <w:proofErr w:type="gramStart"/>
      <w:r w:rsidRPr="00AE649B">
        <w:rPr>
          <w:rFonts w:ascii="Times New Roman" w:eastAsia="標楷體" w:hAnsi="Times New Roman" w:hint="eastAsia"/>
        </w:rPr>
        <w:t>≒</w:t>
      </w:r>
      <w:proofErr w:type="gramEnd"/>
      <w:r w:rsidRPr="00AE649B">
        <w:rPr>
          <w:rFonts w:ascii="Times New Roman" w:eastAsia="標楷體" w:hAnsi="標楷體"/>
        </w:rPr>
        <w:t>稀釋</w:t>
      </w:r>
      <w:r w:rsidRPr="00AE649B">
        <w:rPr>
          <w:rFonts w:ascii="Times New Roman" w:eastAsia="標楷體" w:hAnsi="標楷體" w:hint="eastAsia"/>
        </w:rPr>
        <w:t>254.4</w:t>
      </w:r>
      <w:r w:rsidRPr="00AE649B">
        <w:rPr>
          <w:rFonts w:ascii="Times New Roman" w:eastAsia="標楷體" w:hAnsi="標楷體"/>
        </w:rPr>
        <w:t>倍。</w:t>
      </w:r>
    </w:p>
    <w:p w:rsidR="00504493" w:rsidRPr="00A40452" w:rsidRDefault="00504493" w:rsidP="00504493">
      <w:pPr>
        <w:pStyle w:val="a3"/>
        <w:ind w:leftChars="0" w:left="360"/>
        <w:rPr>
          <w:rFonts w:ascii="Times New Roman" w:eastAsia="標楷體" w:hAnsi="標楷體"/>
        </w:rPr>
      </w:pPr>
      <w:r w:rsidRPr="00AE649B">
        <w:rPr>
          <w:rFonts w:ascii="Times New Roman" w:eastAsia="標楷體" w:hAnsi="標楷體" w:hint="eastAsia"/>
        </w:rPr>
        <w:t>診斷濃度</w:t>
      </w:r>
      <w:r w:rsidRPr="00AE649B">
        <w:rPr>
          <w:rFonts w:ascii="Times New Roman" w:eastAsia="標楷體" w:hAnsi="標楷體" w:hint="eastAsia"/>
        </w:rPr>
        <w:t>(</w:t>
      </w:r>
      <w:r w:rsidRPr="00AE649B">
        <w:rPr>
          <w:rFonts w:ascii="Times New Roman" w:eastAsia="標楷體" w:hAnsi="Times New Roman"/>
          <w:szCs w:val="24"/>
        </w:rPr>
        <w:t>LC</w:t>
      </w:r>
      <w:r w:rsidRPr="00AE649B">
        <w:rPr>
          <w:rFonts w:ascii="Times New Roman" w:eastAsia="標楷體" w:hAnsi="Times New Roman"/>
          <w:szCs w:val="24"/>
          <w:vertAlign w:val="subscript"/>
        </w:rPr>
        <w:t>99</w:t>
      </w:r>
      <w:r w:rsidRPr="00AE649B">
        <w:rPr>
          <w:rFonts w:ascii="Times New Roman" w:eastAsia="標楷體" w:hAnsi="Times New Roman" w:hint="eastAsia"/>
        </w:rPr>
        <w:t>的兩倍</w:t>
      </w:r>
      <w:r w:rsidRPr="00AE649B">
        <w:rPr>
          <w:rFonts w:ascii="Times New Roman" w:eastAsia="標楷體" w:hAnsi="標楷體" w:hint="eastAsia"/>
        </w:rPr>
        <w:t>，建議田間使用的濃度</w:t>
      </w:r>
      <w:r w:rsidRPr="00AE649B">
        <w:rPr>
          <w:rFonts w:ascii="Times New Roman" w:eastAsia="標楷體" w:hAnsi="標楷體" w:hint="eastAsia"/>
        </w:rPr>
        <w:t>)=</w:t>
      </w:r>
      <w:r w:rsidRPr="00AE649B">
        <w:rPr>
          <w:rFonts w:ascii="Times New Roman" w:eastAsia="標楷體" w:hAnsi="Times New Roman" w:hint="eastAsia"/>
        </w:rPr>
        <w:t>7.9</w:t>
      </w:r>
      <w:r w:rsidRPr="00AE649B">
        <w:rPr>
          <w:rFonts w:ascii="Times New Roman" w:eastAsia="標楷體" w:hAnsi="Times New Roman"/>
        </w:rPr>
        <w:t>×10</w:t>
      </w:r>
      <w:r w:rsidRPr="00AE649B">
        <w:rPr>
          <w:rFonts w:ascii="Times New Roman" w:eastAsia="標楷體" w:hAnsi="Times New Roman"/>
          <w:vertAlign w:val="superscript"/>
        </w:rPr>
        <w:t>-</w:t>
      </w:r>
      <w:r w:rsidRPr="00AE649B">
        <w:rPr>
          <w:rFonts w:ascii="Times New Roman" w:eastAsia="標楷體" w:hAnsi="Times New Roman" w:hint="eastAsia"/>
          <w:vertAlign w:val="superscript"/>
        </w:rPr>
        <w:t>3</w:t>
      </w:r>
      <w:r w:rsidRPr="00AE649B">
        <w:rPr>
          <w:rFonts w:ascii="Times New Roman" w:eastAsia="標楷體" w:hAnsi="Times New Roman" w:hint="eastAsia"/>
        </w:rPr>
        <w:t>(</w:t>
      </w:r>
      <w:r w:rsidRPr="00AE649B">
        <w:rPr>
          <w:rFonts w:ascii="Times New Roman" w:eastAsia="標楷體" w:hAnsi="Times New Roman"/>
        </w:rPr>
        <w:t>v/v%)</w:t>
      </w:r>
      <w:proofErr w:type="gramStart"/>
      <w:r w:rsidRPr="00AE649B">
        <w:rPr>
          <w:rFonts w:ascii="Times New Roman" w:eastAsia="標楷體" w:hAnsi="Times New Roman" w:hint="eastAsia"/>
        </w:rPr>
        <w:t>≒</w:t>
      </w:r>
      <w:proofErr w:type="gramEnd"/>
      <w:r w:rsidRPr="00AE649B">
        <w:rPr>
          <w:rFonts w:ascii="Times New Roman" w:eastAsia="標楷體" w:hAnsi="標楷體"/>
        </w:rPr>
        <w:t>稀釋</w:t>
      </w:r>
      <w:r w:rsidRPr="00AE649B">
        <w:rPr>
          <w:rFonts w:ascii="Times New Roman" w:eastAsia="標楷體" w:hAnsi="標楷體" w:hint="eastAsia"/>
        </w:rPr>
        <w:t>127.2</w:t>
      </w:r>
      <w:r w:rsidRPr="00AE649B">
        <w:rPr>
          <w:rFonts w:ascii="Times New Roman" w:eastAsia="標楷體" w:hAnsi="標楷體"/>
        </w:rPr>
        <w:t>倍。</w:t>
      </w:r>
    </w:p>
    <w:p w:rsidR="00504493" w:rsidRDefault="00504493" w:rsidP="00504493">
      <w:pPr>
        <w:sectPr w:rsidR="00504493" w:rsidSect="00E65A53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60"/>
        </w:sectPr>
      </w:pPr>
    </w:p>
    <w:p w:rsidR="00504493" w:rsidRPr="00E65A53" w:rsidRDefault="00504493" w:rsidP="00504493">
      <w:pPr>
        <w:jc w:val="center"/>
        <w:rPr>
          <w:rFonts w:ascii="標楷體" w:eastAsia="標楷體" w:hAnsi="標楷體"/>
          <w:b/>
          <w:spacing w:val="12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感受性</w:t>
      </w:r>
      <w:r w:rsidRPr="00E65A53">
        <w:rPr>
          <w:rFonts w:ascii="標楷體" w:eastAsia="標楷體" w:hAnsi="標楷體" w:hint="eastAsia"/>
          <w:b/>
          <w:spacing w:val="12"/>
          <w:sz w:val="28"/>
          <w:szCs w:val="28"/>
        </w:rPr>
        <w:t>品系埃及斑</w:t>
      </w:r>
      <w:proofErr w:type="gramStart"/>
      <w:r w:rsidRPr="00E65A53">
        <w:rPr>
          <w:rFonts w:ascii="標楷體" w:eastAsia="標楷體" w:hAnsi="標楷體" w:hint="eastAsia"/>
          <w:b/>
          <w:spacing w:val="12"/>
          <w:sz w:val="28"/>
          <w:szCs w:val="28"/>
        </w:rPr>
        <w:t>蚊對</w:t>
      </w:r>
      <w:r>
        <w:rPr>
          <w:rFonts w:eastAsia="標楷體" w:hint="eastAsia"/>
          <w:b/>
          <w:sz w:val="28"/>
          <w:szCs w:val="28"/>
        </w:rPr>
        <w:t>逸利寧</w:t>
      </w:r>
      <w:proofErr w:type="gramEnd"/>
      <w:r w:rsidRPr="00E65A53">
        <w:rPr>
          <w:rFonts w:eastAsia="標楷體" w:hint="eastAsia"/>
          <w:b/>
          <w:sz w:val="28"/>
          <w:szCs w:val="28"/>
        </w:rPr>
        <w:t>乳劑</w:t>
      </w:r>
      <w:proofErr w:type="gramStart"/>
      <w:r w:rsidRPr="00E65A53">
        <w:rPr>
          <w:rFonts w:ascii="標楷體" w:eastAsia="標楷體" w:hAnsi="標楷體" w:hint="eastAsia"/>
          <w:b/>
          <w:spacing w:val="12"/>
          <w:sz w:val="28"/>
          <w:szCs w:val="28"/>
        </w:rPr>
        <w:t>的感藥情形</w:t>
      </w:r>
      <w:proofErr w:type="gramEnd"/>
    </w:p>
    <w:p w:rsidR="00504493" w:rsidRDefault="00504493" w:rsidP="00504493">
      <w:pPr>
        <w:jc w:val="center"/>
      </w:pPr>
    </w:p>
    <w:p w:rsidR="00504493" w:rsidRDefault="00504493" w:rsidP="00504493">
      <w:pPr>
        <w:jc w:val="both"/>
      </w:pPr>
      <w:r w:rsidRPr="00837265">
        <w:rPr>
          <w:noProof/>
        </w:rPr>
        <w:drawing>
          <wp:inline distT="0" distB="0" distL="0" distR="0" wp14:anchorId="7FC088C9" wp14:editId="184C7C6F">
            <wp:extent cx="5895975" cy="3409950"/>
            <wp:effectExtent l="19050" t="0" r="0" b="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04493" w:rsidRDefault="00504493" w:rsidP="00504493">
      <w:pPr>
        <w:jc w:val="both"/>
      </w:pPr>
    </w:p>
    <w:p w:rsidR="00504493" w:rsidRDefault="00504493" w:rsidP="00504493">
      <w:pPr>
        <w:jc w:val="both"/>
      </w:pPr>
    </w:p>
    <w:p w:rsidR="00504493" w:rsidRPr="00F44EDC" w:rsidRDefault="00504493" w:rsidP="00F44EDC">
      <w:pPr>
        <w:jc w:val="both"/>
        <w:sectPr w:rsidR="00504493" w:rsidRPr="00F44EDC" w:rsidSect="00E65A53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837265">
        <w:rPr>
          <w:noProof/>
        </w:rPr>
        <w:drawing>
          <wp:inline distT="0" distB="0" distL="0" distR="0" wp14:anchorId="547B2760" wp14:editId="13A25EE0">
            <wp:extent cx="6076950" cy="3333750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A7BD3" w:rsidRDefault="007A7BD3" w:rsidP="00F44EDC"/>
    <w:sectPr w:rsidR="007A7BD3" w:rsidSect="00F44EDC">
      <w:pgSz w:w="11906" w:h="16838"/>
      <w:pgMar w:top="1440" w:right="1797" w:bottom="1440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5EC" w:rsidRDefault="00BF05EC" w:rsidP="00F44EDC">
      <w:r>
        <w:separator/>
      </w:r>
    </w:p>
  </w:endnote>
  <w:endnote w:type="continuationSeparator" w:id="0">
    <w:p w:rsidR="00BF05EC" w:rsidRDefault="00BF05EC" w:rsidP="00F4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5EC" w:rsidRDefault="00BF05EC" w:rsidP="00F44EDC">
      <w:r>
        <w:separator/>
      </w:r>
    </w:p>
  </w:footnote>
  <w:footnote w:type="continuationSeparator" w:id="0">
    <w:p w:rsidR="00BF05EC" w:rsidRDefault="00BF05EC" w:rsidP="00F44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93"/>
    <w:rsid w:val="002B21D1"/>
    <w:rsid w:val="00504493"/>
    <w:rsid w:val="00581C45"/>
    <w:rsid w:val="007A7BD3"/>
    <w:rsid w:val="00BF05EC"/>
    <w:rsid w:val="00F4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4493"/>
    <w:pPr>
      <w:ind w:leftChars="200" w:left="480"/>
    </w:pPr>
    <w:rPr>
      <w:rFonts w:ascii="Calibri" w:hAnsi="Calibr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04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044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4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44ED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44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44ED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4493"/>
    <w:pPr>
      <w:ind w:leftChars="200" w:left="480"/>
    </w:pPr>
    <w:rPr>
      <w:rFonts w:ascii="Calibri" w:hAnsi="Calibr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04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044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4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44ED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44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44ED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27511;&#24180;&#35336;&#21123;&#26360;\101&#24180;&#24230;\&#35430;&#39511;\&#23526;&#39511;&#35352;&#37636;\1010213-0214-&#24863;&#21463;&#24615;-&#36920;&#21033;&#23527;\&#24863;&#21463;&#24615;-&#36920;&#21033;&#23527;&#24863;&#34277;&#36852;&#27512;&#32218;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27511;&#24180;&#35336;&#21123;&#26360;\101&#24180;&#24230;\&#35430;&#39511;\&#23526;&#39511;&#35352;&#37636;\1010213-0214-&#24863;&#21463;&#24615;-&#36920;&#21033;&#23527;\&#24863;&#21463;&#24615;-&#36920;&#21033;&#23527;&#24863;&#34277;&#36852;&#27512;&#32218;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6206896551724288E-2"/>
          <c:y val="7.3634204275534437E-2"/>
          <c:w val="0.78758620689655157"/>
          <c:h val="0.68883610451306432"/>
        </c:manualLayout>
      </c:layout>
      <c:scatterChart>
        <c:scatterStyle val="lineMarker"/>
        <c:varyColors val="0"/>
        <c:ser>
          <c:idx val="0"/>
          <c:order val="0"/>
          <c:spPr>
            <a:ln w="38100">
              <a:solidFill>
                <a:sysClr val="windowText" lastClr="000000"/>
              </a:solidFill>
            </a:ln>
          </c:spPr>
          <c:marker>
            <c:symbol val="diamond"/>
            <c:size val="7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trendline>
            <c:spPr>
              <a:ln>
                <a:solidFill>
                  <a:sysClr val="windowText" lastClr="000000"/>
                </a:solidFill>
              </a:ln>
            </c:spPr>
            <c:trendlineType val="linear"/>
            <c:dispRSqr val="0"/>
            <c:dispEq val="1"/>
            <c:trendlineLbl>
              <c:layout>
                <c:manualLayout>
                  <c:x val="-0.49937431626648093"/>
                  <c:y val="-0.31703661344007988"/>
                </c:manualLayout>
              </c:layout>
              <c:tx>
                <c:rich>
                  <a:bodyPr/>
                  <a:lstStyle/>
                  <a:p>
                    <a:pPr>
                      <a:defRPr sz="1400" b="1">
                        <a:latin typeface="標楷體" pitchFamily="65" charset="-120"/>
                        <a:ea typeface="標楷體" pitchFamily="65" charset="-120"/>
                      </a:defRPr>
                    </a:pPr>
                    <a:r>
                      <a:rPr lang="en-US" altLang="en-US" baseline="0"/>
                      <a:t>y = 19.3 x + 92.7</a:t>
                    </a:r>
                  </a:p>
                  <a:p>
                    <a:pPr>
                      <a:defRPr sz="1400" b="1">
                        <a:latin typeface="標楷體" pitchFamily="65" charset="-120"/>
                        <a:ea typeface="標楷體" pitchFamily="65" charset="-120"/>
                      </a:defRPr>
                    </a:pPr>
                    <a:r>
                      <a:rPr lang="en-US" altLang="en-US" baseline="0"/>
                      <a:t>Slope = 19.3</a:t>
                    </a:r>
                    <a:endParaRPr lang="en-US" altLang="en-US"/>
                  </a:p>
                </c:rich>
              </c:tx>
              <c:numFmt formatCode="G/通用格式" sourceLinked="0"/>
            </c:trendlineLbl>
          </c:trendline>
          <c:xVal>
            <c:numRef>
              <c:f>KC50!$B$17:$B$22</c:f>
              <c:numCache>
                <c:formatCode>G/通用格式</c:formatCode>
                <c:ptCount val="6"/>
                <c:pt idx="0">
                  <c:v>-5.3010299956639928</c:v>
                </c:pt>
                <c:pt idx="1">
                  <c:v>-4.6989700043360081</c:v>
                </c:pt>
                <c:pt idx="2">
                  <c:v>-3.6989700043360192</c:v>
                </c:pt>
                <c:pt idx="3">
                  <c:v>-3</c:v>
                </c:pt>
                <c:pt idx="4">
                  <c:v>-2.6989700043360192</c:v>
                </c:pt>
                <c:pt idx="5">
                  <c:v>-2.3979400086720402</c:v>
                </c:pt>
              </c:numCache>
            </c:numRef>
          </c:xVal>
          <c:yVal>
            <c:numRef>
              <c:f>KC50!$C$17:$C$22</c:f>
              <c:numCache>
                <c:formatCode>G/通用格式</c:formatCode>
                <c:ptCount val="6"/>
                <c:pt idx="0" formatCode="0.0">
                  <c:v>0</c:v>
                </c:pt>
                <c:pt idx="1">
                  <c:v>2.5</c:v>
                </c:pt>
                <c:pt idx="2" formatCode="0.0">
                  <c:v>2.5</c:v>
                </c:pt>
                <c:pt idx="3" formatCode="0.0">
                  <c:v>25</c:v>
                </c:pt>
                <c:pt idx="4" formatCode="0.0">
                  <c:v>48.75</c:v>
                </c:pt>
                <c:pt idx="5">
                  <c:v>57.5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0394752"/>
        <c:axId val="300396928"/>
      </c:scatterChart>
      <c:valAx>
        <c:axId val="300394752"/>
        <c:scaling>
          <c:orientation val="minMax"/>
          <c:max val="-2"/>
          <c:min val="-5.5"/>
        </c:scaling>
        <c:delete val="0"/>
        <c:axPos val="b"/>
        <c:title>
          <c:tx>
            <c:rich>
              <a:bodyPr/>
              <a:lstStyle/>
              <a:p>
                <a:pPr>
                  <a:defRPr sz="1200" b="1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zh-TW" sz="1200" b="1">
                    <a:latin typeface="標楷體" pitchFamily="65" charset="-120"/>
                    <a:ea typeface="標楷體" pitchFamily="65" charset="-120"/>
                  </a:rPr>
                  <a:t>Log</a:t>
                </a:r>
                <a:r>
                  <a:rPr lang="zh-TW" altLang="en-US" sz="1200" b="1">
                    <a:latin typeface="標楷體" pitchFamily="65" charset="-120"/>
                    <a:ea typeface="標楷體" pitchFamily="65" charset="-120"/>
                  </a:rPr>
                  <a:t>濃度</a:t>
                </a:r>
                <a:r>
                  <a:rPr lang="en-US" altLang="zh-TW" sz="1200" b="1">
                    <a:latin typeface="標楷體" pitchFamily="65" charset="-120"/>
                    <a:ea typeface="標楷體" pitchFamily="65" charset="-120"/>
                  </a:rPr>
                  <a:t>(V/V%)</a:t>
                </a:r>
                <a:endParaRPr lang="zh-TW" altLang="en-US" sz="1200" b="1">
                  <a:latin typeface="標楷體" pitchFamily="65" charset="-120"/>
                  <a:ea typeface="標楷體" pitchFamily="65" charset="-120"/>
                </a:endParaRPr>
              </a:p>
            </c:rich>
          </c:tx>
          <c:overlay val="0"/>
        </c:title>
        <c:numFmt formatCode="G/通用格式" sourceLinked="1"/>
        <c:majorTickMark val="in"/>
        <c:minorTickMark val="none"/>
        <c:tickLblPos val="nextTo"/>
        <c:spPr>
          <a:ln w="38100">
            <a:solidFill>
              <a:schemeClr val="tx1"/>
            </a:solidFill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300396928"/>
        <c:crossesAt val="0"/>
        <c:crossBetween val="midCat"/>
      </c:valAx>
      <c:valAx>
        <c:axId val="300396928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0" vert="wordArtVertRtl"/>
              <a:lstStyle/>
              <a:p>
                <a:pPr>
                  <a:defRPr sz="1400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zh-TW" sz="1400">
                    <a:latin typeface="標楷體" pitchFamily="65" charset="-120"/>
                    <a:ea typeface="標楷體" pitchFamily="65" charset="-120"/>
                  </a:rPr>
                  <a:t>30</a:t>
                </a:r>
                <a:r>
                  <a:rPr lang="zh-TW" altLang="en-US" sz="1400">
                    <a:latin typeface="標楷體" pitchFamily="65" charset="-120"/>
                    <a:ea typeface="標楷體" pitchFamily="65" charset="-120"/>
                  </a:rPr>
                  <a:t>分鐘擊昏率</a:t>
                </a:r>
                <a:r>
                  <a:rPr lang="en-US" altLang="zh-TW" sz="1400">
                    <a:latin typeface="標楷體" pitchFamily="65" charset="-120"/>
                    <a:ea typeface="標楷體" pitchFamily="65" charset="-120"/>
                  </a:rPr>
                  <a:t>(%)</a:t>
                </a:r>
                <a:endParaRPr lang="zh-TW" altLang="en-US" sz="1400">
                  <a:latin typeface="標楷體" pitchFamily="65" charset="-120"/>
                  <a:ea typeface="標楷體" pitchFamily="65" charset="-120"/>
                </a:endParaRPr>
              </a:p>
            </c:rich>
          </c:tx>
          <c:layout>
            <c:manualLayout>
              <c:xMode val="edge"/>
              <c:yMode val="edge"/>
              <c:x val="0.93324293267865066"/>
              <c:y val="0.1326591298992654"/>
            </c:manualLayout>
          </c:layout>
          <c:overlay val="0"/>
        </c:title>
        <c:numFmt formatCode="0.0_ " sourceLinked="0"/>
        <c:majorTickMark val="out"/>
        <c:minorTickMark val="none"/>
        <c:tickLblPos val="high"/>
        <c:spPr>
          <a:ln w="38100">
            <a:solidFill>
              <a:schemeClr val="tx1"/>
            </a:solidFill>
          </a:ln>
        </c:spPr>
        <c:txPr>
          <a:bodyPr/>
          <a:lstStyle/>
          <a:p>
            <a:pPr>
              <a:defRPr sz="1200" b="1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300394752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2345790109569642E-2"/>
          <c:y val="0.10539542557180373"/>
          <c:w val="0.72962785607912173"/>
          <c:h val="0.6888361045130641"/>
        </c:manualLayout>
      </c:layout>
      <c:scatterChart>
        <c:scatterStyle val="lineMarker"/>
        <c:varyColors val="0"/>
        <c:ser>
          <c:idx val="0"/>
          <c:order val="0"/>
          <c:tx>
            <c:v>LC</c:v>
          </c:tx>
          <c:spPr>
            <a:ln w="38100"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</c:spPr>
          </c:marker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1"/>
            <c:trendlineLbl>
              <c:layout>
                <c:manualLayout>
                  <c:x val="-0.44688935614326802"/>
                  <c:y val="-5.0713110257816996E-2"/>
                </c:manualLayout>
              </c:layout>
              <c:tx>
                <c:rich>
                  <a:bodyPr/>
                  <a:lstStyle/>
                  <a:p>
                    <a:pPr>
                      <a:defRPr sz="1400" b="1">
                        <a:latin typeface="標楷體" pitchFamily="65" charset="-120"/>
                        <a:ea typeface="標楷體" pitchFamily="65" charset="-120"/>
                      </a:defRPr>
                    </a:pPr>
                    <a:r>
                      <a:rPr lang="en-US" altLang="en-US" baseline="0"/>
                      <a:t>y = 30.4x + 180.9</a:t>
                    </a:r>
                  </a:p>
                  <a:p>
                    <a:pPr>
                      <a:defRPr sz="1400" b="1">
                        <a:latin typeface="標楷體" pitchFamily="65" charset="-120"/>
                        <a:ea typeface="標楷體" pitchFamily="65" charset="-120"/>
                      </a:defRPr>
                    </a:pPr>
                    <a:r>
                      <a:rPr lang="en-US" altLang="en-US" baseline="0"/>
                      <a:t>Slope = 30.4</a:t>
                    </a:r>
                    <a:endParaRPr lang="en-US" altLang="en-US"/>
                  </a:p>
                </c:rich>
              </c:tx>
              <c:numFmt formatCode="G/通用格式" sourceLinked="0"/>
            </c:trendlineLbl>
          </c:trendline>
          <c:xVal>
            <c:numRef>
              <c:f>LC50!$B$33:$B$38</c:f>
              <c:numCache>
                <c:formatCode>G/通用格式</c:formatCode>
                <c:ptCount val="6"/>
                <c:pt idx="0">
                  <c:v>-5.3010299956639928</c:v>
                </c:pt>
                <c:pt idx="1">
                  <c:v>-4.6989700043360081</c:v>
                </c:pt>
                <c:pt idx="2">
                  <c:v>-3.6989700043360192</c:v>
                </c:pt>
                <c:pt idx="3">
                  <c:v>-3</c:v>
                </c:pt>
                <c:pt idx="4">
                  <c:v>-2.6989700043360192</c:v>
                </c:pt>
                <c:pt idx="5">
                  <c:v>-2.3979400086720402</c:v>
                </c:pt>
              </c:numCache>
            </c:numRef>
          </c:xVal>
          <c:yVal>
            <c:numRef>
              <c:f>LC50!$C$33:$C$38</c:f>
              <c:numCache>
                <c:formatCode>0.0</c:formatCode>
                <c:ptCount val="6"/>
                <c:pt idx="0">
                  <c:v>12.5</c:v>
                </c:pt>
                <c:pt idx="1">
                  <c:v>38.75</c:v>
                </c:pt>
                <c:pt idx="2">
                  <c:v>82.5</c:v>
                </c:pt>
                <c:pt idx="3">
                  <c:v>91.25</c:v>
                </c:pt>
                <c:pt idx="4">
                  <c:v>97.5</c:v>
                </c:pt>
                <c:pt idx="5">
                  <c:v>100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0562688"/>
        <c:axId val="300573056"/>
      </c:scatterChart>
      <c:valAx>
        <c:axId val="300562688"/>
        <c:scaling>
          <c:orientation val="minMax"/>
          <c:max val="-2"/>
          <c:min val="-5.5"/>
        </c:scaling>
        <c:delete val="0"/>
        <c:axPos val="b"/>
        <c:title>
          <c:tx>
            <c:rich>
              <a:bodyPr/>
              <a:lstStyle/>
              <a:p>
                <a:pPr>
                  <a:defRPr sz="1200" b="1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zh-TW" sz="1200" b="1">
                    <a:latin typeface="標楷體" pitchFamily="65" charset="-120"/>
                    <a:ea typeface="標楷體" pitchFamily="65" charset="-120"/>
                  </a:rPr>
                  <a:t>Log</a:t>
                </a:r>
                <a:r>
                  <a:rPr lang="zh-TW" altLang="en-US" sz="1200" b="1">
                    <a:latin typeface="標楷體" pitchFamily="65" charset="-120"/>
                    <a:ea typeface="標楷體" pitchFamily="65" charset="-120"/>
                  </a:rPr>
                  <a:t>濃度</a:t>
                </a:r>
                <a:r>
                  <a:rPr lang="en-US" altLang="zh-TW" sz="1200" b="1">
                    <a:latin typeface="標楷體" pitchFamily="65" charset="-120"/>
                    <a:ea typeface="標楷體" pitchFamily="65" charset="-120"/>
                  </a:rPr>
                  <a:t>(V/V%)</a:t>
                </a:r>
                <a:endParaRPr lang="zh-TW" altLang="en-US" sz="1200" b="1">
                  <a:latin typeface="標楷體" pitchFamily="65" charset="-120"/>
                  <a:ea typeface="標楷體" pitchFamily="65" charset="-120"/>
                </a:endParaRPr>
              </a:p>
            </c:rich>
          </c:tx>
          <c:overlay val="0"/>
        </c:title>
        <c:numFmt formatCode="G/通用格式" sourceLinked="1"/>
        <c:majorTickMark val="in"/>
        <c:minorTickMark val="none"/>
        <c:tickLblPos val="nextTo"/>
        <c:spPr>
          <a:ln w="38100">
            <a:solidFill>
              <a:schemeClr val="tx1"/>
            </a:solidFill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300573056"/>
        <c:crossesAt val="0"/>
        <c:crossBetween val="midCat"/>
      </c:valAx>
      <c:valAx>
        <c:axId val="300573056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0" vert="wordArtVertRtl"/>
              <a:lstStyle/>
              <a:p>
                <a:pPr>
                  <a:defRPr sz="1400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zh-TW" sz="1400">
                    <a:latin typeface="標楷體" pitchFamily="65" charset="-120"/>
                    <a:ea typeface="標楷體" pitchFamily="65" charset="-120"/>
                  </a:rPr>
                  <a:t>24</a:t>
                </a:r>
                <a:r>
                  <a:rPr lang="zh-TW" altLang="en-US" sz="1400">
                    <a:latin typeface="標楷體" pitchFamily="65" charset="-120"/>
                    <a:ea typeface="標楷體" pitchFamily="65" charset="-120"/>
                  </a:rPr>
                  <a:t>小時死亡率</a:t>
                </a:r>
                <a:r>
                  <a:rPr lang="en-US" altLang="zh-TW" sz="1400">
                    <a:latin typeface="標楷體" pitchFamily="65" charset="-120"/>
                    <a:ea typeface="標楷體" pitchFamily="65" charset="-120"/>
                  </a:rPr>
                  <a:t>(%)</a:t>
                </a:r>
                <a:endParaRPr lang="zh-TW" altLang="en-US" sz="1400">
                  <a:latin typeface="標楷體" pitchFamily="65" charset="-120"/>
                  <a:ea typeface="標楷體" pitchFamily="65" charset="-120"/>
                </a:endParaRPr>
              </a:p>
            </c:rich>
          </c:tx>
          <c:layout>
            <c:manualLayout>
              <c:xMode val="edge"/>
              <c:yMode val="edge"/>
              <c:x val="0.92918980738692925"/>
              <c:y val="0.12884949381327376"/>
            </c:manualLayout>
          </c:layout>
          <c:overlay val="0"/>
        </c:title>
        <c:numFmt formatCode="0.0_ " sourceLinked="0"/>
        <c:majorTickMark val="out"/>
        <c:minorTickMark val="none"/>
        <c:tickLblPos val="high"/>
        <c:spPr>
          <a:ln w="38100">
            <a:solidFill>
              <a:schemeClr val="tx1"/>
            </a:solidFill>
          </a:ln>
        </c:spPr>
        <c:txPr>
          <a:bodyPr/>
          <a:lstStyle/>
          <a:p>
            <a:pPr>
              <a:defRPr sz="1200" b="1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300562688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</Words>
  <Characters>612</Characters>
  <Application>Microsoft Office Word</Application>
  <DocSecurity>0</DocSecurity>
  <Lines>5</Lines>
  <Paragraphs>1</Paragraphs>
  <ScaleCrop>false</ScaleCrop>
  <Company>Your Company Name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林秀品</dc:creator>
  <cp:keywords/>
  <dc:description/>
  <cp:lastModifiedBy>林秀品</cp:lastModifiedBy>
  <cp:revision>3</cp:revision>
  <dcterms:created xsi:type="dcterms:W3CDTF">2013-11-28T10:21:00Z</dcterms:created>
  <dcterms:modified xsi:type="dcterms:W3CDTF">2013-12-03T02:23:00Z</dcterms:modified>
</cp:coreProperties>
</file>